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673D5" w14:textId="19F2C80A" w:rsidR="009604D8" w:rsidRPr="00BD69F2" w:rsidRDefault="00206EB1">
      <w:pPr>
        <w:spacing w:after="0" w:line="259" w:lineRule="auto"/>
        <w:ind w:left="0" w:firstLine="0"/>
        <w:jc w:val="left"/>
        <w:rPr>
          <w:b/>
          <w:szCs w:val="24"/>
        </w:rPr>
      </w:pPr>
      <w:proofErr w:type="spellStart"/>
      <w:r w:rsidRPr="00BD69F2">
        <w:rPr>
          <w:b/>
          <w:szCs w:val="24"/>
        </w:rPr>
        <w:t>Vitaliy</w:t>
      </w:r>
      <w:proofErr w:type="spellEnd"/>
      <w:r w:rsidRPr="00BD69F2">
        <w:rPr>
          <w:b/>
          <w:szCs w:val="24"/>
        </w:rPr>
        <w:t xml:space="preserve"> </w:t>
      </w:r>
      <w:proofErr w:type="spellStart"/>
      <w:r w:rsidRPr="00BD69F2">
        <w:rPr>
          <w:b/>
          <w:szCs w:val="24"/>
        </w:rPr>
        <w:t>Romanenko</w:t>
      </w:r>
      <w:proofErr w:type="spellEnd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106"/>
        <w:gridCol w:w="5529"/>
      </w:tblGrid>
      <w:tr w:rsidR="00B73A0F" w:rsidRPr="00BD69F2" w14:paraId="056B4534" w14:textId="77777777" w:rsidTr="002A7067">
        <w:trPr>
          <w:trHeight w:val="214"/>
        </w:trPr>
        <w:tc>
          <w:tcPr>
            <w:tcW w:w="9664" w:type="dxa"/>
            <w:gridSpan w:val="3"/>
            <w:vAlign w:val="center"/>
          </w:tcPr>
          <w:p w14:paraId="072083C1" w14:textId="1635E160" w:rsidR="00B73A0F" w:rsidRPr="00BD69F2" w:rsidRDefault="00B73A0F" w:rsidP="002A706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</w:tr>
      <w:tr w:rsidR="002A7067" w:rsidRPr="00BD69F2" w14:paraId="14975AC8" w14:textId="77777777" w:rsidTr="002A7067">
        <w:tc>
          <w:tcPr>
            <w:tcW w:w="9664" w:type="dxa"/>
            <w:gridSpan w:val="3"/>
            <w:tcBorders>
              <w:bottom w:val="single" w:sz="4" w:space="0" w:color="auto"/>
            </w:tcBorders>
            <w:vAlign w:val="center"/>
          </w:tcPr>
          <w:p w14:paraId="4AAE1CE5" w14:textId="2C13CC03" w:rsidR="002A7067" w:rsidRPr="00BD69F2" w:rsidRDefault="002A7067" w:rsidP="002A706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BD69F2">
              <w:rPr>
                <w:b/>
                <w:bCs/>
                <w:szCs w:val="24"/>
              </w:rPr>
              <w:t>CONTACT INFORMATION</w:t>
            </w:r>
          </w:p>
        </w:tc>
      </w:tr>
      <w:tr w:rsidR="002A7067" w:rsidRPr="00BD69F2" w14:paraId="56D3F60B" w14:textId="77777777" w:rsidTr="002A7067">
        <w:tc>
          <w:tcPr>
            <w:tcW w:w="9664" w:type="dxa"/>
            <w:gridSpan w:val="3"/>
            <w:tcBorders>
              <w:top w:val="single" w:sz="4" w:space="0" w:color="auto"/>
            </w:tcBorders>
            <w:vAlign w:val="center"/>
          </w:tcPr>
          <w:p w14:paraId="6CCB85AC" w14:textId="77777777" w:rsidR="002A7067" w:rsidRPr="00BD69F2" w:rsidRDefault="002A7067" w:rsidP="002A7067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B73A0F" w:rsidRPr="00F77AC2" w14:paraId="49815C17" w14:textId="77777777" w:rsidTr="002A7067">
        <w:trPr>
          <w:trHeight w:val="1004"/>
        </w:trPr>
        <w:tc>
          <w:tcPr>
            <w:tcW w:w="4135" w:type="dxa"/>
            <w:gridSpan w:val="2"/>
          </w:tcPr>
          <w:p w14:paraId="062F585C" w14:textId="77777777" w:rsidR="00B73A0F" w:rsidRPr="00BD69F2" w:rsidRDefault="00B73A0F" w:rsidP="00B73A0F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BD69F2">
              <w:rPr>
                <w:szCs w:val="24"/>
              </w:rPr>
              <w:t>Adresas</w:t>
            </w:r>
            <w:proofErr w:type="spellEnd"/>
            <w:r w:rsidRPr="00BD69F2">
              <w:rPr>
                <w:szCs w:val="24"/>
              </w:rPr>
              <w:t xml:space="preserve"> </w:t>
            </w:r>
          </w:p>
          <w:p w14:paraId="0AAB9A20" w14:textId="77777777" w:rsidR="00B73A0F" w:rsidRPr="00BD69F2" w:rsidRDefault="00B73A0F" w:rsidP="00B73A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>Tel. Nr.:</w:t>
            </w:r>
          </w:p>
          <w:p w14:paraId="0491355B" w14:textId="77777777" w:rsidR="00B73A0F" w:rsidRPr="00BD69F2" w:rsidRDefault="00B73A0F" w:rsidP="00B73A0F">
            <w:pPr>
              <w:spacing w:after="0" w:line="240" w:lineRule="auto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 xml:space="preserve">El. </w:t>
            </w:r>
            <w:proofErr w:type="spellStart"/>
            <w:r w:rsidRPr="00BD69F2">
              <w:rPr>
                <w:szCs w:val="24"/>
              </w:rPr>
              <w:t>paštas</w:t>
            </w:r>
            <w:proofErr w:type="spellEnd"/>
            <w:r w:rsidRPr="00BD69F2">
              <w:rPr>
                <w:szCs w:val="24"/>
              </w:rPr>
              <w:t xml:space="preserve">: </w:t>
            </w:r>
          </w:p>
          <w:p w14:paraId="7F4A974E" w14:textId="5AB91D73" w:rsidR="00B73A0F" w:rsidRPr="00BD69F2" w:rsidRDefault="00B73A0F" w:rsidP="00B73A0F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5529" w:type="dxa"/>
          </w:tcPr>
          <w:p w14:paraId="2A797FB7" w14:textId="3CDF47A6" w:rsidR="00B73A0F" w:rsidRPr="00F77AC2" w:rsidRDefault="00B73A0F" w:rsidP="00B73A0F">
            <w:pPr>
              <w:spacing w:after="0" w:line="240" w:lineRule="auto"/>
              <w:ind w:left="0" w:firstLine="0"/>
              <w:jc w:val="right"/>
              <w:rPr>
                <w:szCs w:val="24"/>
                <w:lang w:val="pl-PL"/>
              </w:rPr>
            </w:pPr>
            <w:r w:rsidRPr="00F77AC2">
              <w:rPr>
                <w:szCs w:val="24"/>
                <w:lang w:val="pl-PL"/>
              </w:rPr>
              <w:t>Akademijos Str. 2, Vilnius LT-08412, Lithuania</w:t>
            </w:r>
          </w:p>
          <w:p w14:paraId="2E0DB5DB" w14:textId="77777777" w:rsidR="00B73A0F" w:rsidRPr="00F77AC2" w:rsidRDefault="00B73A0F" w:rsidP="00B73A0F">
            <w:pPr>
              <w:spacing w:after="0" w:line="240" w:lineRule="auto"/>
              <w:ind w:left="0" w:firstLine="0"/>
              <w:jc w:val="right"/>
              <w:rPr>
                <w:szCs w:val="24"/>
                <w:lang w:val="pl-PL"/>
              </w:rPr>
            </w:pPr>
            <w:r w:rsidRPr="00F77AC2">
              <w:rPr>
                <w:szCs w:val="24"/>
                <w:lang w:val="pl-PL"/>
              </w:rPr>
              <w:t>+370 52104703</w:t>
            </w:r>
          </w:p>
          <w:p w14:paraId="1E1048DA" w14:textId="77777777" w:rsidR="0068303D" w:rsidRPr="00F77AC2" w:rsidRDefault="0068303D" w:rsidP="0068303D">
            <w:pPr>
              <w:jc w:val="right"/>
              <w:rPr>
                <w:bCs/>
                <w:szCs w:val="24"/>
                <w:lang w:val="pl-PL"/>
              </w:rPr>
            </w:pPr>
            <w:r w:rsidRPr="00F77AC2">
              <w:rPr>
                <w:bCs/>
                <w:szCs w:val="24"/>
                <w:lang w:val="pl-PL"/>
              </w:rPr>
              <w:t>vitaliy.romanenko@gamtc.lt</w:t>
            </w:r>
          </w:p>
          <w:p w14:paraId="6B9B8D1C" w14:textId="0809D96A" w:rsidR="00B73A0F" w:rsidRPr="00F77AC2" w:rsidRDefault="00B73A0F" w:rsidP="00B73A0F">
            <w:pPr>
              <w:spacing w:after="0" w:line="240" w:lineRule="auto"/>
              <w:ind w:left="-34" w:firstLine="34"/>
              <w:jc w:val="right"/>
              <w:rPr>
                <w:szCs w:val="24"/>
                <w:lang w:val="pl-PL"/>
              </w:rPr>
            </w:pPr>
            <w:r w:rsidRPr="00F77AC2">
              <w:rPr>
                <w:szCs w:val="24"/>
                <w:lang w:val="pl-PL"/>
              </w:rPr>
              <w:t>https://orcid.org/0000-0002-5679-0705</w:t>
            </w:r>
            <w:r w:rsidR="002B62D6">
              <w:rPr>
                <w:szCs w:val="24"/>
              </w:rPr>
              <w:fldChar w:fldCharType="begin"/>
            </w:r>
            <w:r w:rsidR="002B62D6" w:rsidRPr="00F77AC2">
              <w:rPr>
                <w:szCs w:val="24"/>
                <w:lang w:val="pl-PL"/>
              </w:rPr>
              <w:instrText xml:space="preserve"> HYPERLINK "https://www.linkedin.com/in/%C5%BEana-skuratovi%C4%8D-296570148" \h </w:instrText>
            </w:r>
            <w:r w:rsidR="002B62D6">
              <w:rPr>
                <w:szCs w:val="24"/>
              </w:rPr>
              <w:fldChar w:fldCharType="separate"/>
            </w:r>
            <w:r w:rsidRPr="00F77AC2">
              <w:rPr>
                <w:szCs w:val="24"/>
                <w:lang w:val="pl-PL"/>
              </w:rPr>
              <w:t xml:space="preserve"> </w:t>
            </w:r>
            <w:r w:rsidR="002B62D6">
              <w:rPr>
                <w:szCs w:val="24"/>
              </w:rPr>
              <w:fldChar w:fldCharType="end"/>
            </w:r>
          </w:p>
        </w:tc>
      </w:tr>
      <w:tr w:rsidR="003F4959" w:rsidRPr="00F77AC2" w14:paraId="63259E27" w14:textId="77777777" w:rsidTr="00DB64EE">
        <w:trPr>
          <w:trHeight w:val="267"/>
        </w:trPr>
        <w:tc>
          <w:tcPr>
            <w:tcW w:w="9664" w:type="dxa"/>
            <w:gridSpan w:val="3"/>
          </w:tcPr>
          <w:p w14:paraId="30D1292E" w14:textId="77777777" w:rsidR="003F4959" w:rsidRPr="00F77AC2" w:rsidRDefault="003F4959" w:rsidP="00B73A0F">
            <w:pPr>
              <w:spacing w:after="0" w:line="240" w:lineRule="auto"/>
              <w:ind w:left="0" w:firstLine="0"/>
              <w:jc w:val="right"/>
              <w:rPr>
                <w:szCs w:val="24"/>
                <w:lang w:val="pl-PL"/>
              </w:rPr>
            </w:pPr>
          </w:p>
        </w:tc>
      </w:tr>
      <w:tr w:rsidR="00B73A0F" w:rsidRPr="00BD69F2" w14:paraId="2F2DD501" w14:textId="77777777" w:rsidTr="00DB6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353E396D" w14:textId="73CB99DA" w:rsidR="00B73A0F" w:rsidRPr="00BD69F2" w:rsidRDefault="00B73A0F" w:rsidP="00B73A0F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D69F2">
              <w:rPr>
                <w:b/>
                <w:szCs w:val="24"/>
              </w:rPr>
              <w:t>EDUCATION AND ACADEMIC DEGREE</w:t>
            </w:r>
          </w:p>
        </w:tc>
      </w:tr>
      <w:tr w:rsidR="003F4959" w:rsidRPr="00BD69F2" w14:paraId="1830F7F7" w14:textId="77777777" w:rsidTr="00DB6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72072C07" w14:textId="77777777" w:rsidR="003F4959" w:rsidRPr="00BD69F2" w:rsidRDefault="003F4959" w:rsidP="00B73A0F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73A0F" w:rsidRPr="00BD69F2" w14:paraId="3BE2A474" w14:textId="77777777" w:rsidTr="00DB64EE">
        <w:tc>
          <w:tcPr>
            <w:tcW w:w="2029" w:type="dxa"/>
          </w:tcPr>
          <w:p w14:paraId="0C516002" w14:textId="408B6FC8" w:rsidR="00B73A0F" w:rsidRPr="00BD69F2" w:rsidRDefault="00B73A0F" w:rsidP="00BE5301">
            <w:pPr>
              <w:spacing w:before="120"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>2019</w:t>
            </w:r>
            <w:r w:rsidR="00BB367E" w:rsidRPr="00BD69F2">
              <w:rPr>
                <w:szCs w:val="24"/>
              </w:rPr>
              <w:t xml:space="preserve"> – </w:t>
            </w:r>
            <w:r w:rsidRPr="00BD69F2">
              <w:rPr>
                <w:bCs/>
                <w:szCs w:val="24"/>
              </w:rPr>
              <w:t>2023</w:t>
            </w:r>
          </w:p>
        </w:tc>
        <w:tc>
          <w:tcPr>
            <w:tcW w:w="7635" w:type="dxa"/>
            <w:gridSpan w:val="2"/>
          </w:tcPr>
          <w:p w14:paraId="36E92CE1" w14:textId="77777777" w:rsidR="00B73A0F" w:rsidRPr="00BD69F2" w:rsidRDefault="00B73A0F" w:rsidP="00BE5301">
            <w:pPr>
              <w:spacing w:before="120" w:after="0" w:line="240" w:lineRule="auto"/>
              <w:ind w:left="0" w:firstLine="0"/>
              <w:rPr>
                <w:szCs w:val="24"/>
              </w:rPr>
            </w:pPr>
            <w:r w:rsidRPr="00BD69F2">
              <w:rPr>
                <w:szCs w:val="24"/>
              </w:rPr>
              <w:t>PhD in Natural Sciences, Physics (N002). Vilnius University.</w:t>
            </w:r>
          </w:p>
          <w:p w14:paraId="28DCDBA2" w14:textId="10811CAA" w:rsidR="00B73A0F" w:rsidRPr="00BD69F2" w:rsidRDefault="00B73A0F" w:rsidP="00BE5301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BD69F2">
              <w:rPr>
                <w:szCs w:val="24"/>
              </w:rPr>
              <w:t>Defended thesis:</w:t>
            </w:r>
            <w:r w:rsidRPr="00BD69F2">
              <w:rPr>
                <w:b/>
                <w:szCs w:val="24"/>
              </w:rPr>
              <w:t xml:space="preserve"> </w:t>
            </w:r>
            <w:r w:rsidRPr="00BD69F2">
              <w:rPr>
                <w:szCs w:val="24"/>
              </w:rPr>
              <w:t xml:space="preserve">"“The study of anthropogenic radionuclide transport in the system </w:t>
            </w:r>
            <w:r w:rsidR="00BE5301" w:rsidRPr="00BD69F2">
              <w:rPr>
                <w:szCs w:val="24"/>
              </w:rPr>
              <w:t>Neman River</w:t>
            </w:r>
            <w:r w:rsidRPr="00BD69F2">
              <w:rPr>
                <w:szCs w:val="24"/>
              </w:rPr>
              <w:t xml:space="preserve"> – </w:t>
            </w:r>
            <w:r w:rsidR="00BE5301" w:rsidRPr="00BD69F2">
              <w:rPr>
                <w:szCs w:val="24"/>
              </w:rPr>
              <w:t>Baltic Sea</w:t>
            </w:r>
            <w:r w:rsidRPr="00BD69F2">
              <w:rPr>
                <w:szCs w:val="24"/>
              </w:rPr>
              <w:t>”.</w:t>
            </w:r>
          </w:p>
        </w:tc>
      </w:tr>
      <w:tr w:rsidR="00B73A0F" w:rsidRPr="00BD69F2" w14:paraId="4708F3A5" w14:textId="77777777" w:rsidTr="00DB64EE">
        <w:tc>
          <w:tcPr>
            <w:tcW w:w="2029" w:type="dxa"/>
          </w:tcPr>
          <w:p w14:paraId="00CBBE60" w14:textId="4EE7F034" w:rsidR="00B73A0F" w:rsidRPr="00BD69F2" w:rsidRDefault="00B73A0F" w:rsidP="00B73A0F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>2013</w:t>
            </w:r>
            <w:r w:rsidR="00BB367E" w:rsidRPr="00BD69F2">
              <w:rPr>
                <w:szCs w:val="24"/>
              </w:rPr>
              <w:t xml:space="preserve"> – </w:t>
            </w:r>
            <w:r w:rsidRPr="00BD69F2">
              <w:rPr>
                <w:bCs/>
                <w:szCs w:val="24"/>
              </w:rPr>
              <w:t>2015</w:t>
            </w:r>
          </w:p>
        </w:tc>
        <w:tc>
          <w:tcPr>
            <w:tcW w:w="7635" w:type="dxa"/>
            <w:gridSpan w:val="2"/>
          </w:tcPr>
          <w:p w14:paraId="23532040" w14:textId="4892DCA0" w:rsidR="00B73A0F" w:rsidRPr="00BD69F2" w:rsidRDefault="00BE5301" w:rsidP="00846F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BD69F2">
              <w:rPr>
                <w:szCs w:val="24"/>
              </w:rPr>
              <w:t>Master ‘</w:t>
            </w:r>
            <w:r w:rsidR="00B73A0F" w:rsidRPr="00BD69F2">
              <w:rPr>
                <w:szCs w:val="24"/>
              </w:rPr>
              <w:t>s</w:t>
            </w:r>
            <w:proofErr w:type="gramEnd"/>
            <w:r w:rsidR="00B73A0F" w:rsidRPr="00BD69F2">
              <w:rPr>
                <w:szCs w:val="24"/>
              </w:rPr>
              <w:t xml:space="preserve"> graduat</w:t>
            </w:r>
            <w:r w:rsidR="00F77AC2">
              <w:rPr>
                <w:szCs w:val="24"/>
              </w:rPr>
              <w:t>e</w:t>
            </w:r>
            <w:r w:rsidR="00B73A0F" w:rsidRPr="00BD69F2">
              <w:rPr>
                <w:szCs w:val="24"/>
              </w:rPr>
              <w:t xml:space="preserve"> in Physical Sciences. </w:t>
            </w:r>
            <w:proofErr w:type="spellStart"/>
            <w:r w:rsidR="00846FB8" w:rsidRPr="00BD69F2">
              <w:rPr>
                <w:szCs w:val="24"/>
              </w:rPr>
              <w:t>Shakarim</w:t>
            </w:r>
            <w:proofErr w:type="spellEnd"/>
            <w:r w:rsidR="00846FB8" w:rsidRPr="00BD69F2">
              <w:rPr>
                <w:szCs w:val="24"/>
              </w:rPr>
              <w:t xml:space="preserve"> State University of </w:t>
            </w:r>
            <w:proofErr w:type="spellStart"/>
            <w:r w:rsidR="00846FB8" w:rsidRPr="00BD69F2">
              <w:rPr>
                <w:szCs w:val="24"/>
              </w:rPr>
              <w:t>Semey</w:t>
            </w:r>
            <w:proofErr w:type="spellEnd"/>
            <w:r w:rsidR="00846FB8" w:rsidRPr="00BD69F2">
              <w:rPr>
                <w:szCs w:val="24"/>
              </w:rPr>
              <w:t>, Kazakhstan, faculty of Engineering and Technology. Technical physics.</w:t>
            </w:r>
          </w:p>
        </w:tc>
      </w:tr>
      <w:tr w:rsidR="00B73A0F" w:rsidRPr="00BD69F2" w14:paraId="07BC5785" w14:textId="77777777" w:rsidTr="00DB64EE">
        <w:tc>
          <w:tcPr>
            <w:tcW w:w="2029" w:type="dxa"/>
          </w:tcPr>
          <w:p w14:paraId="3D77CF5B" w14:textId="4B7C47C7" w:rsidR="00B73A0F" w:rsidRPr="00BD69F2" w:rsidRDefault="00B73A0F" w:rsidP="00B73A0F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>2004</w:t>
            </w:r>
            <w:r w:rsidR="00BB367E" w:rsidRPr="00BD69F2">
              <w:rPr>
                <w:szCs w:val="24"/>
              </w:rPr>
              <w:t xml:space="preserve"> – </w:t>
            </w:r>
            <w:r w:rsidRPr="00BD69F2">
              <w:rPr>
                <w:bCs/>
                <w:szCs w:val="24"/>
              </w:rPr>
              <w:t>2008</w:t>
            </w:r>
          </w:p>
        </w:tc>
        <w:tc>
          <w:tcPr>
            <w:tcW w:w="7635" w:type="dxa"/>
            <w:gridSpan w:val="2"/>
          </w:tcPr>
          <w:p w14:paraId="385AA017" w14:textId="4F2E4F4E" w:rsidR="00B73A0F" w:rsidRPr="00BD69F2" w:rsidRDefault="00846FB8" w:rsidP="00BE5301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BD69F2">
              <w:rPr>
                <w:szCs w:val="24"/>
              </w:rPr>
              <w:t xml:space="preserve">Bachelor graduate in Physical Sciences. </w:t>
            </w:r>
            <w:proofErr w:type="spellStart"/>
            <w:r w:rsidRPr="00BD69F2">
              <w:rPr>
                <w:szCs w:val="24"/>
              </w:rPr>
              <w:t>Shakarim</w:t>
            </w:r>
            <w:proofErr w:type="spellEnd"/>
            <w:r w:rsidRPr="00BD69F2">
              <w:rPr>
                <w:szCs w:val="24"/>
              </w:rPr>
              <w:t xml:space="preserve"> State University of </w:t>
            </w:r>
            <w:proofErr w:type="spellStart"/>
            <w:r w:rsidRPr="00BD69F2">
              <w:rPr>
                <w:szCs w:val="24"/>
              </w:rPr>
              <w:t>Semey</w:t>
            </w:r>
            <w:proofErr w:type="spellEnd"/>
            <w:r w:rsidRPr="00BD69F2">
              <w:rPr>
                <w:szCs w:val="24"/>
              </w:rPr>
              <w:t>, Kazakhstan, faculty of Engineering and Technology. Technical physics.</w:t>
            </w:r>
          </w:p>
        </w:tc>
      </w:tr>
      <w:tr w:rsidR="00846FB8" w:rsidRPr="00BD69F2" w14:paraId="2851F09D" w14:textId="77777777" w:rsidTr="00DB64EE">
        <w:tc>
          <w:tcPr>
            <w:tcW w:w="9664" w:type="dxa"/>
            <w:gridSpan w:val="3"/>
          </w:tcPr>
          <w:p w14:paraId="540A404F" w14:textId="28F94C64" w:rsidR="00846FB8" w:rsidRPr="00BD69F2" w:rsidRDefault="00846FB8" w:rsidP="00B73A0F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3F4959" w:rsidRPr="00BD69F2" w14:paraId="4341AEE3" w14:textId="77777777" w:rsidTr="00DB6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32CB7B30" w14:textId="7EF4547E" w:rsidR="003F4959" w:rsidRPr="00BD69F2" w:rsidRDefault="003F4959" w:rsidP="00B73A0F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D69F2">
              <w:rPr>
                <w:b/>
                <w:szCs w:val="24"/>
              </w:rPr>
              <w:t>PROFESSIONAL EXPREIENCE</w:t>
            </w:r>
          </w:p>
        </w:tc>
      </w:tr>
      <w:tr w:rsidR="003F4959" w:rsidRPr="00BD69F2" w14:paraId="41B30C33" w14:textId="77777777" w:rsidTr="00DB6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15FA62F5" w14:textId="77777777" w:rsidR="003F4959" w:rsidRPr="00BD69F2" w:rsidRDefault="003F4959" w:rsidP="00B73A0F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73A0F" w:rsidRPr="00BD69F2" w14:paraId="60BD0E7F" w14:textId="77777777" w:rsidTr="00DB64EE">
        <w:tc>
          <w:tcPr>
            <w:tcW w:w="2029" w:type="dxa"/>
          </w:tcPr>
          <w:p w14:paraId="6A888FAC" w14:textId="2B331C4B" w:rsidR="00B73A0F" w:rsidRPr="00BD69F2" w:rsidRDefault="00846FB8" w:rsidP="00BE5301">
            <w:pPr>
              <w:spacing w:before="120"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D69F2">
              <w:rPr>
                <w:szCs w:val="24"/>
              </w:rPr>
              <w:t>20</w:t>
            </w:r>
            <w:r w:rsidR="00BB367E" w:rsidRPr="00BD69F2">
              <w:rPr>
                <w:szCs w:val="24"/>
              </w:rPr>
              <w:t xml:space="preserve">23 </w:t>
            </w:r>
            <w:r w:rsidRPr="00BD69F2">
              <w:rPr>
                <w:szCs w:val="24"/>
              </w:rPr>
              <w:t>– until now</w:t>
            </w:r>
          </w:p>
        </w:tc>
        <w:tc>
          <w:tcPr>
            <w:tcW w:w="7635" w:type="dxa"/>
            <w:gridSpan w:val="2"/>
          </w:tcPr>
          <w:p w14:paraId="7FA0751C" w14:textId="55DEDADE" w:rsidR="00BB367E" w:rsidRPr="00BD69F2" w:rsidRDefault="00846FB8" w:rsidP="00BE5301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b/>
                <w:bCs/>
                <w:szCs w:val="24"/>
              </w:rPr>
              <w:t>J</w:t>
            </w:r>
            <w:r w:rsidR="00BB367E" w:rsidRPr="00BD69F2">
              <w:rPr>
                <w:b/>
                <w:bCs/>
                <w:szCs w:val="24"/>
              </w:rPr>
              <w:t xml:space="preserve">unior </w:t>
            </w:r>
            <w:r w:rsidRPr="00BD69F2">
              <w:rPr>
                <w:b/>
                <w:bCs/>
                <w:szCs w:val="24"/>
              </w:rPr>
              <w:t>researcher</w:t>
            </w:r>
          </w:p>
          <w:p w14:paraId="13FCB51E" w14:textId="13F380CA" w:rsidR="00B73A0F" w:rsidRPr="00BD69F2" w:rsidRDefault="00846FB8" w:rsidP="00846F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>Laboratory of Nuclear Geophysics and Radioecology, Nature Research Centre.</w:t>
            </w:r>
          </w:p>
        </w:tc>
      </w:tr>
      <w:tr w:rsidR="00846FB8" w:rsidRPr="00BD69F2" w14:paraId="18E8E1BD" w14:textId="77777777" w:rsidTr="00DB64EE">
        <w:tc>
          <w:tcPr>
            <w:tcW w:w="2029" w:type="dxa"/>
          </w:tcPr>
          <w:p w14:paraId="0757EC17" w14:textId="63ECE921" w:rsidR="00846FB8" w:rsidRPr="00BD69F2" w:rsidRDefault="00BB367E" w:rsidP="00BE5301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>2019 – 2023</w:t>
            </w:r>
          </w:p>
        </w:tc>
        <w:tc>
          <w:tcPr>
            <w:tcW w:w="7635" w:type="dxa"/>
            <w:gridSpan w:val="2"/>
          </w:tcPr>
          <w:p w14:paraId="5308EFEB" w14:textId="4526B9AC" w:rsidR="00846FB8" w:rsidRPr="00BD69F2" w:rsidRDefault="00BB367E" w:rsidP="00BE5301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 xml:space="preserve">PHD student at </w:t>
            </w:r>
            <w:proofErr w:type="spellStart"/>
            <w:r w:rsidRPr="00BD69F2">
              <w:rPr>
                <w:szCs w:val="24"/>
              </w:rPr>
              <w:t>Center</w:t>
            </w:r>
            <w:proofErr w:type="spellEnd"/>
            <w:r w:rsidRPr="00BD69F2">
              <w:rPr>
                <w:szCs w:val="24"/>
              </w:rPr>
              <w:t xml:space="preserve"> for Physical Sciences and Technology</w:t>
            </w:r>
            <w:r w:rsidR="00F77AC2">
              <w:rPr>
                <w:szCs w:val="24"/>
              </w:rPr>
              <w:t>.</w:t>
            </w:r>
          </w:p>
        </w:tc>
      </w:tr>
      <w:tr w:rsidR="00846FB8" w:rsidRPr="00BD69F2" w14:paraId="638A8FD2" w14:textId="77777777" w:rsidTr="00DB64EE">
        <w:tc>
          <w:tcPr>
            <w:tcW w:w="2029" w:type="dxa"/>
          </w:tcPr>
          <w:p w14:paraId="3F18A0F3" w14:textId="213CA152" w:rsidR="00846FB8" w:rsidRPr="00BD69F2" w:rsidRDefault="00BB367E" w:rsidP="00BE5301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>2010 – 2019</w:t>
            </w:r>
          </w:p>
        </w:tc>
        <w:tc>
          <w:tcPr>
            <w:tcW w:w="7635" w:type="dxa"/>
            <w:gridSpan w:val="2"/>
          </w:tcPr>
          <w:p w14:paraId="36AD7A4A" w14:textId="77777777" w:rsidR="00846FB8" w:rsidRPr="00BD69F2" w:rsidRDefault="00BB367E" w:rsidP="00BE5301">
            <w:pPr>
              <w:spacing w:before="120"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BD69F2">
              <w:rPr>
                <w:b/>
                <w:bCs/>
                <w:szCs w:val="24"/>
              </w:rPr>
              <w:t>Team leader</w:t>
            </w:r>
          </w:p>
          <w:p w14:paraId="2EE35D99" w14:textId="79ADC343" w:rsidR="00BB367E" w:rsidRPr="00BD69F2" w:rsidRDefault="00BB367E" w:rsidP="00B73A0F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D69F2">
              <w:rPr>
                <w:szCs w:val="24"/>
              </w:rPr>
              <w:t xml:space="preserve">Institute of Radiation Safety and Ecology of National Nuclear </w:t>
            </w:r>
            <w:proofErr w:type="spellStart"/>
            <w:r w:rsidRPr="00BD69F2">
              <w:rPr>
                <w:szCs w:val="24"/>
              </w:rPr>
              <w:t>Center</w:t>
            </w:r>
            <w:proofErr w:type="spellEnd"/>
            <w:r w:rsidRPr="00BD69F2">
              <w:rPr>
                <w:szCs w:val="24"/>
              </w:rPr>
              <w:t xml:space="preserve">, </w:t>
            </w:r>
            <w:proofErr w:type="spellStart"/>
            <w:r w:rsidRPr="00BD69F2">
              <w:rPr>
                <w:szCs w:val="24"/>
              </w:rPr>
              <w:t>Kurchatov</w:t>
            </w:r>
            <w:proofErr w:type="spellEnd"/>
            <w:r w:rsidRPr="00BD69F2">
              <w:rPr>
                <w:szCs w:val="24"/>
              </w:rPr>
              <w:t>, Kazakhstan</w:t>
            </w:r>
            <w:r w:rsidR="00F77AC2">
              <w:rPr>
                <w:szCs w:val="24"/>
              </w:rPr>
              <w:t>.</w:t>
            </w:r>
          </w:p>
        </w:tc>
      </w:tr>
      <w:tr w:rsidR="00846FB8" w:rsidRPr="00BD69F2" w14:paraId="24A44598" w14:textId="77777777" w:rsidTr="00DB64EE">
        <w:tc>
          <w:tcPr>
            <w:tcW w:w="2029" w:type="dxa"/>
          </w:tcPr>
          <w:p w14:paraId="62A8A7BC" w14:textId="26AB6C49" w:rsidR="00846FB8" w:rsidRPr="00BD69F2" w:rsidRDefault="00BB367E" w:rsidP="00BE5301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 w:rsidRPr="00BD69F2">
              <w:rPr>
                <w:szCs w:val="24"/>
              </w:rPr>
              <w:t>2008 – 2010</w:t>
            </w:r>
          </w:p>
        </w:tc>
        <w:tc>
          <w:tcPr>
            <w:tcW w:w="7635" w:type="dxa"/>
            <w:gridSpan w:val="2"/>
          </w:tcPr>
          <w:p w14:paraId="34695D64" w14:textId="493093DA" w:rsidR="00BB367E" w:rsidRPr="00BD69F2" w:rsidRDefault="00BB367E" w:rsidP="00BE5301">
            <w:pPr>
              <w:spacing w:before="120"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BD69F2">
              <w:rPr>
                <w:b/>
                <w:bCs/>
                <w:szCs w:val="24"/>
              </w:rPr>
              <w:t>Engineer</w:t>
            </w:r>
          </w:p>
          <w:p w14:paraId="7B37BEEB" w14:textId="1A28E1FF" w:rsidR="00846FB8" w:rsidRPr="00BD69F2" w:rsidRDefault="00BB367E" w:rsidP="00B73A0F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D69F2">
              <w:rPr>
                <w:szCs w:val="24"/>
              </w:rPr>
              <w:t xml:space="preserve">Institute of Atomic Energy of National Nuclear </w:t>
            </w:r>
            <w:proofErr w:type="spellStart"/>
            <w:r w:rsidRPr="00BD69F2">
              <w:rPr>
                <w:szCs w:val="24"/>
              </w:rPr>
              <w:t>Center</w:t>
            </w:r>
            <w:proofErr w:type="spellEnd"/>
            <w:r w:rsidRPr="00BD69F2">
              <w:rPr>
                <w:szCs w:val="24"/>
              </w:rPr>
              <w:t xml:space="preserve">, </w:t>
            </w:r>
            <w:proofErr w:type="spellStart"/>
            <w:r w:rsidRPr="00BD69F2">
              <w:rPr>
                <w:szCs w:val="24"/>
              </w:rPr>
              <w:t>Kurchatov</w:t>
            </w:r>
            <w:proofErr w:type="spellEnd"/>
            <w:r w:rsidRPr="00BD69F2">
              <w:rPr>
                <w:szCs w:val="24"/>
              </w:rPr>
              <w:t>, Kazakhstan</w:t>
            </w:r>
            <w:r w:rsidR="00F77AC2">
              <w:rPr>
                <w:szCs w:val="24"/>
              </w:rPr>
              <w:t>.</w:t>
            </w:r>
          </w:p>
        </w:tc>
      </w:tr>
      <w:tr w:rsidR="00BB367E" w:rsidRPr="00BD69F2" w14:paraId="28496837" w14:textId="77777777" w:rsidTr="00DB64EE">
        <w:tc>
          <w:tcPr>
            <w:tcW w:w="9664" w:type="dxa"/>
            <w:gridSpan w:val="3"/>
          </w:tcPr>
          <w:p w14:paraId="5BA6C7BC" w14:textId="542EE106" w:rsidR="00BB367E" w:rsidRPr="00BD69F2" w:rsidRDefault="00BB367E" w:rsidP="00BB367E">
            <w:pPr>
              <w:pStyle w:val="Heading1"/>
              <w:ind w:left="-5"/>
              <w:outlineLvl w:val="0"/>
              <w:rPr>
                <w:szCs w:val="24"/>
              </w:rPr>
            </w:pPr>
          </w:p>
        </w:tc>
      </w:tr>
      <w:tr w:rsidR="003F4959" w:rsidRPr="00BD69F2" w14:paraId="5D874A1C" w14:textId="77777777" w:rsidTr="00DB6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646DA607" w14:textId="257B8E1B" w:rsidR="003F4959" w:rsidRPr="00BD69F2" w:rsidRDefault="003F4959" w:rsidP="00BB367E">
            <w:pPr>
              <w:pStyle w:val="Heading1"/>
              <w:ind w:left="-5"/>
              <w:outlineLvl w:val="0"/>
              <w:rPr>
                <w:szCs w:val="24"/>
              </w:rPr>
            </w:pPr>
            <w:r w:rsidRPr="00BD69F2">
              <w:rPr>
                <w:szCs w:val="24"/>
              </w:rPr>
              <w:t xml:space="preserve">RESEARCH INTERESTS </w:t>
            </w:r>
            <w:r w:rsidRPr="00BD69F2">
              <w:rPr>
                <w:color w:val="202124"/>
                <w:szCs w:val="24"/>
              </w:rPr>
              <w:t xml:space="preserve"> </w:t>
            </w:r>
          </w:p>
        </w:tc>
      </w:tr>
      <w:tr w:rsidR="003F4959" w:rsidRPr="00BD69F2" w14:paraId="4D8FBDF6" w14:textId="77777777" w:rsidTr="00DB6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6C352315" w14:textId="77777777" w:rsidR="003F4959" w:rsidRPr="00BD69F2" w:rsidRDefault="003F4959" w:rsidP="00BB367E">
            <w:pPr>
              <w:pStyle w:val="Heading1"/>
              <w:ind w:left="-5"/>
              <w:outlineLvl w:val="0"/>
              <w:rPr>
                <w:sz w:val="16"/>
                <w:szCs w:val="16"/>
              </w:rPr>
            </w:pPr>
          </w:p>
        </w:tc>
      </w:tr>
      <w:tr w:rsidR="00BB367E" w:rsidRPr="00BD69F2" w14:paraId="5AA9B566" w14:textId="77777777" w:rsidTr="00DB64EE">
        <w:tc>
          <w:tcPr>
            <w:tcW w:w="9664" w:type="dxa"/>
            <w:gridSpan w:val="3"/>
          </w:tcPr>
          <w:p w14:paraId="6D5B17B7" w14:textId="5CE97728" w:rsidR="00BB367E" w:rsidRPr="00BD69F2" w:rsidRDefault="00BB367E" w:rsidP="00BE5301">
            <w:pPr>
              <w:spacing w:before="120" w:after="0" w:line="259" w:lineRule="auto"/>
              <w:ind w:left="0" w:firstLine="0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>The analysis of the distribution and transport of radionuclides in terrestrial and aquatic ecosystems using experimental nuclear and radiochemical methods to assess exposure risks to both humans and ecosystems.</w:t>
            </w:r>
          </w:p>
        </w:tc>
      </w:tr>
      <w:tr w:rsidR="00BB367E" w:rsidRPr="00BD69F2" w14:paraId="71ECCD25" w14:textId="77777777" w:rsidTr="00DB64EE">
        <w:tc>
          <w:tcPr>
            <w:tcW w:w="9664" w:type="dxa"/>
            <w:gridSpan w:val="3"/>
          </w:tcPr>
          <w:p w14:paraId="0F595A60" w14:textId="686E4673" w:rsidR="00BB367E" w:rsidRPr="00BD69F2" w:rsidRDefault="00BB367E" w:rsidP="00BB367E">
            <w:pPr>
              <w:pStyle w:val="Heading1"/>
              <w:ind w:left="-5"/>
              <w:outlineLvl w:val="0"/>
              <w:rPr>
                <w:szCs w:val="24"/>
              </w:rPr>
            </w:pPr>
          </w:p>
        </w:tc>
      </w:tr>
      <w:tr w:rsidR="003F4959" w:rsidRPr="00BD69F2" w14:paraId="388A711A" w14:textId="77777777" w:rsidTr="00DB6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79F7F54D" w14:textId="6991985F" w:rsidR="003F4959" w:rsidRPr="00BD69F2" w:rsidRDefault="003F4959" w:rsidP="00BB367E">
            <w:pPr>
              <w:pStyle w:val="Heading1"/>
              <w:ind w:left="-5"/>
              <w:outlineLvl w:val="0"/>
              <w:rPr>
                <w:szCs w:val="24"/>
              </w:rPr>
            </w:pPr>
            <w:r w:rsidRPr="00BD69F2">
              <w:rPr>
                <w:szCs w:val="24"/>
              </w:rPr>
              <w:t xml:space="preserve">PUBLICATIONS  </w:t>
            </w:r>
          </w:p>
        </w:tc>
      </w:tr>
      <w:tr w:rsidR="003F4959" w:rsidRPr="00BD69F2" w14:paraId="425902EE" w14:textId="77777777" w:rsidTr="00DB6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0587B5E0" w14:textId="77777777" w:rsidR="003F4959" w:rsidRPr="00BD69F2" w:rsidRDefault="003F4959" w:rsidP="00BB367E">
            <w:pPr>
              <w:pStyle w:val="Heading1"/>
              <w:ind w:left="-5"/>
              <w:outlineLvl w:val="0"/>
              <w:rPr>
                <w:sz w:val="16"/>
                <w:szCs w:val="16"/>
              </w:rPr>
            </w:pPr>
          </w:p>
        </w:tc>
      </w:tr>
      <w:tr w:rsidR="008D0E7C" w:rsidRPr="00BD69F2" w14:paraId="751D4682" w14:textId="77777777" w:rsidTr="00DB64EE">
        <w:tc>
          <w:tcPr>
            <w:tcW w:w="9664" w:type="dxa"/>
            <w:gridSpan w:val="3"/>
          </w:tcPr>
          <w:p w14:paraId="45EAF2B4" w14:textId="49D8A343" w:rsidR="008D0E7C" w:rsidRPr="00BD69F2" w:rsidRDefault="008D0E7C" w:rsidP="00BE5301">
            <w:pPr>
              <w:pStyle w:val="ListParagraph"/>
              <w:numPr>
                <w:ilvl w:val="0"/>
                <w:numId w:val="6"/>
              </w:numPr>
              <w:spacing w:before="120" w:after="0" w:line="259" w:lineRule="auto"/>
              <w:ind w:left="458" w:hanging="425"/>
              <w:rPr>
                <w:szCs w:val="24"/>
              </w:rPr>
            </w:pPr>
            <w:r w:rsidRPr="00BD69F2">
              <w:rPr>
                <w:szCs w:val="24"/>
              </w:rPr>
              <w:t>Short review of plutonium applications for the sediment transport studies. Journal of Environmental Radioactivity. https://doi.org/10.1016/j.jenvrad.2022.107066.</w:t>
            </w:r>
          </w:p>
          <w:p w14:paraId="4CDA9DB1" w14:textId="69C5BC3D" w:rsidR="008D0E7C" w:rsidRPr="00BD69F2" w:rsidRDefault="008D0E7C" w:rsidP="008D0E7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58" w:hanging="425"/>
              <w:rPr>
                <w:szCs w:val="24"/>
              </w:rPr>
            </w:pPr>
            <w:r w:rsidRPr="00BD69F2">
              <w:rPr>
                <w:szCs w:val="24"/>
              </w:rPr>
              <w:t>Distribution of 241Am and Pu isotopes in the Curonian Lagoon and the south-eastern Baltic Sea seawater, suspended particles, sediments and biota. Journal of Environmental Radioactivity. https://doi.org/10.1016/j.jenvrad.2022.106892.</w:t>
            </w:r>
          </w:p>
          <w:p w14:paraId="0DE7A9AA" w14:textId="48B398BA" w:rsidR="008D0E7C" w:rsidRPr="00BD69F2" w:rsidRDefault="008D0E7C" w:rsidP="008D0E7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58" w:hanging="425"/>
              <w:rPr>
                <w:szCs w:val="24"/>
              </w:rPr>
            </w:pPr>
            <w:r w:rsidRPr="00BD69F2">
              <w:rPr>
                <w:szCs w:val="24"/>
              </w:rPr>
              <w:lastRenderedPageBreak/>
              <w:t>Assessment of the input of particulate 239,240Pu and 137Cs from the Neman River into the Curonian Lagoon. Lithuanian Journal of Physics. Lithuanian Journal of Physics, 64(2). https://doi.org/10.3952/physics.2023.63.2.6.</w:t>
            </w:r>
          </w:p>
          <w:p w14:paraId="36D92D78" w14:textId="1BD645F4" w:rsidR="008D0E7C" w:rsidRPr="00BD69F2" w:rsidRDefault="008D0E7C" w:rsidP="008D0E7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58" w:hanging="425"/>
              <w:rPr>
                <w:szCs w:val="24"/>
              </w:rPr>
            </w:pPr>
            <w:r w:rsidRPr="00BD69F2">
              <w:rPr>
                <w:szCs w:val="24"/>
              </w:rPr>
              <w:t>Development of measures for limiting negative impacts of the «Atomic» lake on population and environment. Journal of Environmental Radioactivity 223-224 (2020) 106389. https://doi.org/10.1016/j.jenvrad.2020.106389.</w:t>
            </w:r>
          </w:p>
          <w:p w14:paraId="44B22B70" w14:textId="5D1E0108" w:rsidR="008D0E7C" w:rsidRPr="00BD69F2" w:rsidRDefault="008D0E7C" w:rsidP="008D0E7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58" w:hanging="425"/>
              <w:rPr>
                <w:szCs w:val="24"/>
              </w:rPr>
            </w:pPr>
            <w:r w:rsidRPr="00BD69F2">
              <w:rPr>
                <w:szCs w:val="24"/>
              </w:rPr>
              <w:t>Radiation survey</w:t>
            </w:r>
            <w:r w:rsidR="00BE5301" w:rsidRPr="00BD69F2">
              <w:rPr>
                <w:szCs w:val="24"/>
              </w:rPr>
              <w:t xml:space="preserve"> </w:t>
            </w:r>
            <w:r w:rsidRPr="00BD69F2">
              <w:rPr>
                <w:szCs w:val="24"/>
              </w:rPr>
              <w:t xml:space="preserve">findings of </w:t>
            </w:r>
            <w:proofErr w:type="spellStart"/>
            <w:r w:rsidRPr="00BD69F2">
              <w:rPr>
                <w:szCs w:val="24"/>
              </w:rPr>
              <w:t>Kalachi</w:t>
            </w:r>
            <w:proofErr w:type="spellEnd"/>
            <w:r w:rsidRPr="00BD69F2">
              <w:rPr>
                <w:szCs w:val="24"/>
              </w:rPr>
              <w:t xml:space="preserve"> village in </w:t>
            </w:r>
            <w:proofErr w:type="spellStart"/>
            <w:r w:rsidRPr="00BD69F2">
              <w:rPr>
                <w:szCs w:val="24"/>
              </w:rPr>
              <w:t>Akmolinsk</w:t>
            </w:r>
            <w:proofErr w:type="spellEnd"/>
            <w:r w:rsidR="00BE5301" w:rsidRPr="00BD69F2">
              <w:rPr>
                <w:szCs w:val="24"/>
              </w:rPr>
              <w:t xml:space="preserve"> </w:t>
            </w:r>
            <w:r w:rsidRPr="00BD69F2">
              <w:rPr>
                <w:szCs w:val="24"/>
              </w:rPr>
              <w:t>region. NNC RK Bulletin, Issue 4.2017.</w:t>
            </w:r>
          </w:p>
          <w:p w14:paraId="5E575AD6" w14:textId="027593B7" w:rsidR="008D0E7C" w:rsidRPr="00BD69F2" w:rsidRDefault="008D0E7C" w:rsidP="008D0E7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58" w:hanging="425"/>
              <w:rPr>
                <w:b/>
                <w:szCs w:val="24"/>
              </w:rPr>
            </w:pPr>
            <w:r w:rsidRPr="00BD69F2">
              <w:rPr>
                <w:szCs w:val="24"/>
              </w:rPr>
              <w:t xml:space="preserve">Present thermal regime of lake Atomic (Semipalatinsk test site) - Russian Geology and Geophysics 58 (2017) 864–867. </w:t>
            </w:r>
            <w:hyperlink r:id="rId7" w:history="1">
              <w:r w:rsidRPr="00BD69F2">
                <w:rPr>
                  <w:rStyle w:val="Hyperlink"/>
                  <w:szCs w:val="24"/>
                </w:rPr>
                <w:t>https://doi.org/10.1016/j.rgg.2017.06.009</w:t>
              </w:r>
            </w:hyperlink>
            <w:r w:rsidRPr="00BD69F2">
              <w:rPr>
                <w:szCs w:val="24"/>
              </w:rPr>
              <w:t>.</w:t>
            </w:r>
          </w:p>
          <w:p w14:paraId="415F03B0" w14:textId="45AECF66" w:rsidR="008D0E7C" w:rsidRPr="00BD69F2" w:rsidRDefault="008D0E7C" w:rsidP="008D0E7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458" w:hanging="425"/>
              <w:rPr>
                <w:b/>
                <w:szCs w:val="24"/>
              </w:rPr>
            </w:pPr>
            <w:r w:rsidRPr="00BD69F2">
              <w:rPr>
                <w:szCs w:val="24"/>
              </w:rPr>
              <w:t>Possibility assessment of determination of the place of the underground nuclear tests by means of artificial radionuclides presence in groundwater within STS. CTBT: Science and Technology 2017 //Vienna, Austria, 26-30 June 2017.</w:t>
            </w:r>
          </w:p>
        </w:tc>
      </w:tr>
      <w:tr w:rsidR="006F4539" w:rsidRPr="00BD69F2" w14:paraId="285A1A2B" w14:textId="77777777" w:rsidTr="00DB64EE">
        <w:tc>
          <w:tcPr>
            <w:tcW w:w="9664" w:type="dxa"/>
            <w:gridSpan w:val="3"/>
          </w:tcPr>
          <w:p w14:paraId="1AE0423F" w14:textId="008FCE84" w:rsidR="006F4539" w:rsidRPr="00BD69F2" w:rsidRDefault="006F4539" w:rsidP="00EA6938">
            <w:pPr>
              <w:pStyle w:val="Heading1"/>
              <w:ind w:left="-5"/>
              <w:jc w:val="both"/>
              <w:outlineLvl w:val="0"/>
              <w:rPr>
                <w:szCs w:val="24"/>
              </w:rPr>
            </w:pPr>
          </w:p>
        </w:tc>
      </w:tr>
      <w:tr w:rsidR="003F4959" w:rsidRPr="00BD69F2" w14:paraId="09A505DB" w14:textId="77777777" w:rsidTr="00DB6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42531DA4" w14:textId="27F25062" w:rsidR="003F4959" w:rsidRPr="00BD69F2" w:rsidRDefault="003F4959" w:rsidP="00EA6938">
            <w:pPr>
              <w:pStyle w:val="Heading1"/>
              <w:ind w:left="-5"/>
              <w:jc w:val="both"/>
              <w:outlineLvl w:val="0"/>
              <w:rPr>
                <w:szCs w:val="24"/>
              </w:rPr>
            </w:pPr>
            <w:r w:rsidRPr="00BD69F2">
              <w:rPr>
                <w:szCs w:val="24"/>
              </w:rPr>
              <w:t>PARTICIPATION IN INTERNATIONAL AND NATIONAL SCIENTIFIC PROGRAMMES AND PROJECTS</w:t>
            </w:r>
          </w:p>
        </w:tc>
      </w:tr>
      <w:tr w:rsidR="003F4959" w:rsidRPr="00BD69F2" w14:paraId="2C832D76" w14:textId="77777777" w:rsidTr="00DB6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5FC53B5C" w14:textId="77777777" w:rsidR="003F4959" w:rsidRPr="00BD69F2" w:rsidRDefault="003F4959" w:rsidP="00EA6938">
            <w:pPr>
              <w:pStyle w:val="Heading1"/>
              <w:ind w:left="-5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6F4539" w:rsidRPr="00BD69F2" w14:paraId="0200E3E7" w14:textId="77777777" w:rsidTr="00DB64EE">
        <w:tc>
          <w:tcPr>
            <w:tcW w:w="9664" w:type="dxa"/>
            <w:gridSpan w:val="3"/>
          </w:tcPr>
          <w:p w14:paraId="205F45AE" w14:textId="3EA22FD3" w:rsidR="006F4539" w:rsidRPr="00BD69F2" w:rsidRDefault="006F4539" w:rsidP="00BE5301">
            <w:pPr>
              <w:spacing w:before="120" w:after="0" w:line="259" w:lineRule="auto"/>
              <w:ind w:left="1309" w:hanging="1309"/>
              <w:rPr>
                <w:szCs w:val="24"/>
              </w:rPr>
            </w:pPr>
            <w:r w:rsidRPr="00BD69F2">
              <w:rPr>
                <w:szCs w:val="24"/>
              </w:rPr>
              <w:t>2018 – 2019 ISTS project – #K2160. Assessment of ecological risk of excavation nuclear tests: “</w:t>
            </w:r>
            <w:proofErr w:type="spellStart"/>
            <w:r w:rsidRPr="00BD69F2">
              <w:rPr>
                <w:szCs w:val="24"/>
              </w:rPr>
              <w:t>Chagan</w:t>
            </w:r>
            <w:proofErr w:type="spellEnd"/>
            <w:r w:rsidRPr="00BD69F2">
              <w:rPr>
                <w:szCs w:val="24"/>
              </w:rPr>
              <w:t>” underground nuclear test at Semipalatinsk Test Site, the Republic of Kazakhstan, Analysis of the problem. Position: main assistant of project manager.</w:t>
            </w:r>
          </w:p>
        </w:tc>
      </w:tr>
      <w:tr w:rsidR="006F4539" w:rsidRPr="00BD69F2" w14:paraId="2A60010A" w14:textId="77777777" w:rsidTr="00DB64EE">
        <w:tc>
          <w:tcPr>
            <w:tcW w:w="9664" w:type="dxa"/>
            <w:gridSpan w:val="3"/>
          </w:tcPr>
          <w:p w14:paraId="5E2AC8A3" w14:textId="786D34C8" w:rsidR="006F4539" w:rsidRPr="00BD69F2" w:rsidRDefault="006F4539" w:rsidP="006F4539">
            <w:pPr>
              <w:pStyle w:val="Heading1"/>
              <w:ind w:left="-5"/>
              <w:outlineLvl w:val="0"/>
              <w:rPr>
                <w:szCs w:val="24"/>
              </w:rPr>
            </w:pPr>
          </w:p>
        </w:tc>
      </w:tr>
      <w:tr w:rsidR="003F4959" w:rsidRPr="00BD69F2" w14:paraId="603E31E9" w14:textId="77777777" w:rsidTr="00DB6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57EDFE36" w14:textId="108EC76F" w:rsidR="003F4959" w:rsidRPr="00BD69F2" w:rsidRDefault="003F4959" w:rsidP="006F4539">
            <w:pPr>
              <w:pStyle w:val="Heading1"/>
              <w:ind w:left="-5"/>
              <w:outlineLvl w:val="0"/>
              <w:rPr>
                <w:szCs w:val="24"/>
              </w:rPr>
            </w:pPr>
            <w:r w:rsidRPr="00BD69F2">
              <w:rPr>
                <w:szCs w:val="24"/>
              </w:rPr>
              <w:t>INTERNSHIP AND TRAINING</w:t>
            </w:r>
          </w:p>
        </w:tc>
      </w:tr>
      <w:tr w:rsidR="003F4959" w:rsidRPr="00BD69F2" w14:paraId="06BD9C10" w14:textId="77777777" w:rsidTr="000F7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786CF345" w14:textId="77777777" w:rsidR="003F4959" w:rsidRPr="00BD69F2" w:rsidRDefault="003F4959" w:rsidP="006F4539">
            <w:pPr>
              <w:pStyle w:val="Heading1"/>
              <w:ind w:left="-5"/>
              <w:outlineLvl w:val="0"/>
              <w:rPr>
                <w:sz w:val="16"/>
                <w:szCs w:val="16"/>
              </w:rPr>
            </w:pPr>
          </w:p>
        </w:tc>
      </w:tr>
      <w:tr w:rsidR="006F4539" w:rsidRPr="00BD69F2" w14:paraId="10A145C6" w14:textId="77777777" w:rsidTr="000F74EE">
        <w:tc>
          <w:tcPr>
            <w:tcW w:w="9664" w:type="dxa"/>
            <w:gridSpan w:val="3"/>
          </w:tcPr>
          <w:p w14:paraId="53424A77" w14:textId="6219DDFF" w:rsidR="006F4539" w:rsidRPr="00BD69F2" w:rsidRDefault="006F4539" w:rsidP="00BE5301">
            <w:pPr>
              <w:spacing w:before="120" w:after="0" w:line="259" w:lineRule="auto"/>
              <w:ind w:left="742" w:hanging="742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 xml:space="preserve">2017   “Basic theoretical GC and GC-MC training and laboratory practical training for Tridion-T-9 instrument and </w:t>
            </w:r>
            <w:proofErr w:type="spellStart"/>
            <w:r w:rsidRPr="00BD69F2">
              <w:rPr>
                <w:bCs/>
                <w:szCs w:val="24"/>
              </w:rPr>
              <w:t>Chromion</w:t>
            </w:r>
            <w:proofErr w:type="spellEnd"/>
            <w:r w:rsidRPr="00BD69F2">
              <w:rPr>
                <w:bCs/>
                <w:szCs w:val="24"/>
              </w:rPr>
              <w:t xml:space="preserve"> software”. Abacus Analytical Systems GmbH (representor for the GC-MC </w:t>
            </w:r>
            <w:proofErr w:type="spellStart"/>
            <w:r w:rsidRPr="00BD69F2">
              <w:rPr>
                <w:bCs/>
                <w:szCs w:val="24"/>
              </w:rPr>
              <w:t>Torion</w:t>
            </w:r>
            <w:proofErr w:type="spellEnd"/>
            <w:r w:rsidRPr="00BD69F2">
              <w:rPr>
                <w:bCs/>
                <w:szCs w:val="24"/>
              </w:rPr>
              <w:t xml:space="preserve"> – Perkin Elmer) Russia, Moscow, April 10-13, 2017.</w:t>
            </w:r>
          </w:p>
          <w:p w14:paraId="0B5704A9" w14:textId="35C235F0" w:rsidR="006F4539" w:rsidRPr="00BD69F2" w:rsidRDefault="006F4539" w:rsidP="006F4539">
            <w:pPr>
              <w:spacing w:after="0" w:line="259" w:lineRule="auto"/>
              <w:ind w:left="742" w:hanging="742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>2016   IAEA courses: “Regional training course on occupational radiation protection programs and safety culture”. Lithuania, Vilnius, May 30 - June 3, 2016.</w:t>
            </w:r>
          </w:p>
          <w:p w14:paraId="3F5F00B7" w14:textId="5A0DE380" w:rsidR="006F4539" w:rsidRPr="00BD69F2" w:rsidRDefault="006F4539" w:rsidP="006F4539">
            <w:pPr>
              <w:spacing w:after="0" w:line="259" w:lineRule="auto"/>
              <w:ind w:left="742" w:hanging="742"/>
              <w:rPr>
                <w:bCs/>
                <w:szCs w:val="24"/>
              </w:rPr>
            </w:pPr>
            <w:r w:rsidRPr="00BD69F2">
              <w:rPr>
                <w:bCs/>
                <w:szCs w:val="24"/>
              </w:rPr>
              <w:t>2015   IAEA courses: “Regional training course on technology 2: remediation design and long-term performance assessment”. Austria, Vienna, April 13-17, 2015.</w:t>
            </w:r>
          </w:p>
          <w:p w14:paraId="2C95F9EA" w14:textId="0D30D2D4" w:rsidR="006F4539" w:rsidRPr="00BD69F2" w:rsidRDefault="006F4539" w:rsidP="006F4539">
            <w:pPr>
              <w:spacing w:after="0" w:line="259" w:lineRule="auto"/>
              <w:ind w:left="742" w:hanging="742"/>
              <w:rPr>
                <w:b/>
                <w:szCs w:val="24"/>
              </w:rPr>
            </w:pPr>
            <w:r w:rsidRPr="00BD69F2">
              <w:rPr>
                <w:bCs/>
                <w:szCs w:val="24"/>
              </w:rPr>
              <w:t>2013   Actions in emergencies: “Preparedness for radiological accidents”. As part of the agreement "Training in the field of peaceful uses of atomic energy" between the Kazakh National University. Al-</w:t>
            </w:r>
            <w:proofErr w:type="spellStart"/>
            <w:r w:rsidRPr="00BD69F2">
              <w:rPr>
                <w:bCs/>
                <w:szCs w:val="24"/>
              </w:rPr>
              <w:t>Farabi</w:t>
            </w:r>
            <w:proofErr w:type="spellEnd"/>
            <w:r w:rsidRPr="00BD69F2">
              <w:rPr>
                <w:bCs/>
                <w:szCs w:val="24"/>
              </w:rPr>
              <w:t xml:space="preserve">, the National Nuclear </w:t>
            </w:r>
            <w:proofErr w:type="spellStart"/>
            <w:r w:rsidRPr="00BD69F2">
              <w:rPr>
                <w:bCs/>
                <w:szCs w:val="24"/>
              </w:rPr>
              <w:t>Center</w:t>
            </w:r>
            <w:proofErr w:type="spellEnd"/>
            <w:r w:rsidRPr="00BD69F2">
              <w:rPr>
                <w:bCs/>
                <w:szCs w:val="24"/>
              </w:rPr>
              <w:t xml:space="preserve"> and the Japanese Atomic Energy Agency. </w:t>
            </w:r>
            <w:proofErr w:type="spellStart"/>
            <w:r w:rsidRPr="00BD69F2">
              <w:rPr>
                <w:bCs/>
                <w:szCs w:val="24"/>
              </w:rPr>
              <w:t>Kazakhstan</w:t>
            </w:r>
            <w:proofErr w:type="gramStart"/>
            <w:r w:rsidRPr="00BD69F2">
              <w:rPr>
                <w:bCs/>
                <w:szCs w:val="24"/>
              </w:rPr>
              <w:t>,Kurchatov</w:t>
            </w:r>
            <w:proofErr w:type="spellEnd"/>
            <w:proofErr w:type="gramEnd"/>
            <w:r w:rsidRPr="00BD69F2">
              <w:rPr>
                <w:bCs/>
                <w:szCs w:val="24"/>
              </w:rPr>
              <w:t>, September 9-13, 2013.</w:t>
            </w:r>
          </w:p>
        </w:tc>
      </w:tr>
      <w:tr w:rsidR="000F74EE" w:rsidRPr="00BD69F2" w14:paraId="4488756E" w14:textId="77777777" w:rsidTr="000F74EE">
        <w:tc>
          <w:tcPr>
            <w:tcW w:w="9664" w:type="dxa"/>
            <w:gridSpan w:val="3"/>
          </w:tcPr>
          <w:p w14:paraId="582CAA27" w14:textId="77777777" w:rsidR="000F74EE" w:rsidRPr="000F74EE" w:rsidRDefault="000F74EE" w:rsidP="000F74EE">
            <w:pPr>
              <w:spacing w:after="0" w:line="259" w:lineRule="auto"/>
              <w:ind w:left="742" w:hanging="742"/>
              <w:rPr>
                <w:bCs/>
                <w:sz w:val="22"/>
              </w:rPr>
            </w:pPr>
          </w:p>
        </w:tc>
      </w:tr>
      <w:tr w:rsidR="000F74EE" w:rsidRPr="00BD69F2" w14:paraId="71597FFC" w14:textId="77777777" w:rsidTr="000F74EE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23258484" w14:textId="2B1D8AFA" w:rsidR="000F74EE" w:rsidRPr="000F74EE" w:rsidRDefault="000F74EE" w:rsidP="000F74EE">
            <w:pPr>
              <w:pStyle w:val="Heading1"/>
              <w:ind w:left="-5"/>
              <w:outlineLvl w:val="0"/>
              <w:rPr>
                <w:szCs w:val="24"/>
              </w:rPr>
            </w:pPr>
            <w:r w:rsidRPr="000F74EE">
              <w:rPr>
                <w:szCs w:val="24"/>
              </w:rPr>
              <w:t>PARTICIPATION IN SCIENTIFIC CONFERENCES</w:t>
            </w:r>
          </w:p>
        </w:tc>
      </w:tr>
      <w:tr w:rsidR="000F74EE" w:rsidRPr="00BD69F2" w14:paraId="5599823E" w14:textId="77777777" w:rsidTr="000F74EE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27E9F645" w14:textId="77777777" w:rsidR="000F74EE" w:rsidRPr="000F74EE" w:rsidRDefault="000F74EE" w:rsidP="000F74EE">
            <w:pPr>
              <w:pStyle w:val="Heading1"/>
              <w:ind w:left="-5"/>
              <w:outlineLvl w:val="0"/>
              <w:rPr>
                <w:sz w:val="20"/>
                <w:szCs w:val="20"/>
              </w:rPr>
            </w:pPr>
          </w:p>
        </w:tc>
      </w:tr>
      <w:tr w:rsidR="000F74EE" w:rsidRPr="00BD69F2" w14:paraId="5D5515B3" w14:textId="77777777" w:rsidTr="000F74EE">
        <w:tc>
          <w:tcPr>
            <w:tcW w:w="9664" w:type="dxa"/>
            <w:gridSpan w:val="3"/>
          </w:tcPr>
          <w:p w14:paraId="0D4DDDE9" w14:textId="2D72A278" w:rsidR="000F74EE" w:rsidRPr="000F74EE" w:rsidRDefault="000F74EE" w:rsidP="000F74EE">
            <w:pPr>
              <w:spacing w:after="0" w:line="259" w:lineRule="auto"/>
              <w:ind w:left="0" w:firstLine="600"/>
              <w:rPr>
                <w:bCs/>
                <w:szCs w:val="24"/>
              </w:rPr>
            </w:pPr>
            <w:proofErr w:type="spellStart"/>
            <w:r w:rsidRPr="000F74EE">
              <w:rPr>
                <w:bCs/>
                <w:szCs w:val="24"/>
              </w:rPr>
              <w:t>Vitaliy</w:t>
            </w:r>
            <w:proofErr w:type="spellEnd"/>
            <w:r w:rsidRPr="000F74EE">
              <w:rPr>
                <w:bCs/>
                <w:szCs w:val="24"/>
              </w:rPr>
              <w:t xml:space="preserve"> </w:t>
            </w:r>
            <w:proofErr w:type="spellStart"/>
            <w:r w:rsidRPr="000F74EE">
              <w:rPr>
                <w:bCs/>
                <w:szCs w:val="24"/>
              </w:rPr>
              <w:t>Romanenko</w:t>
            </w:r>
            <w:proofErr w:type="spellEnd"/>
            <w:r w:rsidRPr="000F74EE">
              <w:rPr>
                <w:bCs/>
                <w:szCs w:val="24"/>
              </w:rPr>
              <w:t xml:space="preserve">, Galina Lujaniene, </w:t>
            </w:r>
            <w:bookmarkStart w:id="0" w:name="_GoBack"/>
            <w:bookmarkEnd w:id="0"/>
            <w:r w:rsidRPr="000F74EE">
              <w:rPr>
                <w:bCs/>
                <w:szCs w:val="24"/>
              </w:rPr>
              <w:t>239,240Pu balance in the Curonian Lagoon, 44th National Lithuanian physics conference (LNFK), 6-8th of October, 2021, Vilnius, Lithuania, poster presentation.</w:t>
            </w:r>
          </w:p>
          <w:p w14:paraId="7F46D98E" w14:textId="506985D6" w:rsidR="000F74EE" w:rsidRPr="000F74EE" w:rsidRDefault="000F74EE" w:rsidP="000F74EE">
            <w:pPr>
              <w:spacing w:after="0" w:line="259" w:lineRule="auto"/>
              <w:ind w:left="0" w:firstLine="600"/>
              <w:rPr>
                <w:bCs/>
                <w:szCs w:val="24"/>
              </w:rPr>
            </w:pPr>
            <w:proofErr w:type="spellStart"/>
            <w:r w:rsidRPr="000F74EE">
              <w:rPr>
                <w:bCs/>
                <w:szCs w:val="24"/>
              </w:rPr>
              <w:t>Vitaliy</w:t>
            </w:r>
            <w:proofErr w:type="spellEnd"/>
            <w:r w:rsidRPr="000F74EE">
              <w:rPr>
                <w:bCs/>
                <w:szCs w:val="24"/>
              </w:rPr>
              <w:t xml:space="preserve"> </w:t>
            </w:r>
            <w:proofErr w:type="spellStart"/>
            <w:r w:rsidRPr="000F74EE">
              <w:rPr>
                <w:bCs/>
                <w:szCs w:val="24"/>
              </w:rPr>
              <w:t>Romanenko</w:t>
            </w:r>
            <w:proofErr w:type="spellEnd"/>
            <w:r w:rsidRPr="000F74EE">
              <w:rPr>
                <w:bCs/>
                <w:szCs w:val="24"/>
              </w:rPr>
              <w:t xml:space="preserve">, Galina </w:t>
            </w:r>
            <w:proofErr w:type="spellStart"/>
            <w:r w:rsidRPr="000F74EE">
              <w:rPr>
                <w:bCs/>
                <w:szCs w:val="24"/>
              </w:rPr>
              <w:t>Lujanienė</w:t>
            </w:r>
            <w:proofErr w:type="spellEnd"/>
            <w:r w:rsidRPr="000F74EE">
              <w:rPr>
                <w:bCs/>
                <w:szCs w:val="24"/>
              </w:rPr>
              <w:t xml:space="preserve">, Sergej Šemčuk, Raman </w:t>
            </w:r>
            <w:proofErr w:type="spellStart"/>
            <w:r w:rsidRPr="000F74EE">
              <w:rPr>
                <w:bCs/>
                <w:szCs w:val="24"/>
              </w:rPr>
              <w:t>Novikau</w:t>
            </w:r>
            <w:proofErr w:type="spellEnd"/>
            <w:r w:rsidRPr="000F74EE">
              <w:rPr>
                <w:bCs/>
                <w:szCs w:val="24"/>
              </w:rPr>
              <w:t xml:space="preserve">, Jonas </w:t>
            </w:r>
            <w:proofErr w:type="spellStart"/>
            <w:r w:rsidRPr="000F74EE">
              <w:rPr>
                <w:bCs/>
                <w:szCs w:val="24"/>
              </w:rPr>
              <w:t>Mažeika</w:t>
            </w:r>
            <w:proofErr w:type="spellEnd"/>
            <w:r w:rsidRPr="000F74EE">
              <w:rPr>
                <w:bCs/>
                <w:szCs w:val="24"/>
              </w:rPr>
              <w:t xml:space="preserve">, Olga Jefanova, The study of radionuclides levels in the suspended particulate matter of the </w:t>
            </w:r>
            <w:proofErr w:type="spellStart"/>
            <w:r w:rsidRPr="000F74EE">
              <w:rPr>
                <w:bCs/>
                <w:szCs w:val="24"/>
              </w:rPr>
              <w:t>Neris</w:t>
            </w:r>
            <w:proofErr w:type="spellEnd"/>
            <w:r w:rsidRPr="000F74EE">
              <w:rPr>
                <w:bCs/>
                <w:szCs w:val="24"/>
              </w:rPr>
              <w:t xml:space="preserve"> River, 64th International Conference for Students of Physics and Natural Sciences „Open Readings 2021“, 16-19th of March, 2021, Vilnius, Lithuania, poster presentation.</w:t>
            </w:r>
          </w:p>
          <w:p w14:paraId="5C151957" w14:textId="7E568479" w:rsidR="000F74EE" w:rsidRPr="000F74EE" w:rsidRDefault="000F74EE" w:rsidP="000F74EE">
            <w:pPr>
              <w:spacing w:after="0" w:line="259" w:lineRule="auto"/>
              <w:ind w:left="0" w:firstLine="600"/>
              <w:rPr>
                <w:bCs/>
                <w:szCs w:val="24"/>
              </w:rPr>
            </w:pPr>
            <w:proofErr w:type="spellStart"/>
            <w:r w:rsidRPr="000F74EE">
              <w:rPr>
                <w:bCs/>
                <w:szCs w:val="24"/>
              </w:rPr>
              <w:t>Vitaliy</w:t>
            </w:r>
            <w:proofErr w:type="spellEnd"/>
            <w:r w:rsidRPr="000F74EE">
              <w:rPr>
                <w:bCs/>
                <w:szCs w:val="24"/>
              </w:rPr>
              <w:t xml:space="preserve"> </w:t>
            </w:r>
            <w:proofErr w:type="spellStart"/>
            <w:r w:rsidRPr="000F74EE">
              <w:rPr>
                <w:bCs/>
                <w:szCs w:val="24"/>
              </w:rPr>
              <w:t>Romanenko</w:t>
            </w:r>
            <w:proofErr w:type="spellEnd"/>
            <w:r w:rsidRPr="000F74EE">
              <w:rPr>
                <w:bCs/>
                <w:szCs w:val="24"/>
              </w:rPr>
              <w:t xml:space="preserve">, Galina </w:t>
            </w:r>
            <w:proofErr w:type="spellStart"/>
            <w:r w:rsidRPr="000F74EE">
              <w:rPr>
                <w:bCs/>
                <w:szCs w:val="24"/>
              </w:rPr>
              <w:t>Lujanienė</w:t>
            </w:r>
            <w:proofErr w:type="spellEnd"/>
            <w:r w:rsidRPr="000F74EE">
              <w:rPr>
                <w:bCs/>
                <w:szCs w:val="24"/>
              </w:rPr>
              <w:t xml:space="preserve">, Sergej Šemčuk, Jonas </w:t>
            </w:r>
            <w:proofErr w:type="spellStart"/>
            <w:r w:rsidRPr="000F74EE">
              <w:rPr>
                <w:bCs/>
                <w:szCs w:val="24"/>
              </w:rPr>
              <w:t>Mažeika</w:t>
            </w:r>
            <w:proofErr w:type="spellEnd"/>
            <w:r w:rsidRPr="000F74EE">
              <w:rPr>
                <w:bCs/>
                <w:szCs w:val="24"/>
              </w:rPr>
              <w:t xml:space="preserve">, Olga Jefanova, The estimation of anthropogenic radionuclides levels in the Curonian Lagoon due to the increasing environmental risk, Conference of Doctoral Students and Young Researchers </w:t>
            </w:r>
            <w:proofErr w:type="spellStart"/>
            <w:r w:rsidRPr="000F74EE">
              <w:rPr>
                <w:bCs/>
                <w:szCs w:val="24"/>
              </w:rPr>
              <w:t>FizTech</w:t>
            </w:r>
            <w:proofErr w:type="spellEnd"/>
            <w:r w:rsidRPr="000F74EE">
              <w:rPr>
                <w:bCs/>
                <w:szCs w:val="24"/>
              </w:rPr>
              <w:t xml:space="preserve"> (FizTech2021), 20 – 21th October 2021, Vilnius, Lithuania, oral presentation.</w:t>
            </w:r>
          </w:p>
          <w:p w14:paraId="307A0914" w14:textId="6F8872A4" w:rsidR="000F74EE" w:rsidRPr="000F74EE" w:rsidRDefault="000F74EE" w:rsidP="000F74EE">
            <w:pPr>
              <w:spacing w:after="0" w:line="259" w:lineRule="auto"/>
              <w:ind w:left="0" w:firstLine="600"/>
              <w:rPr>
                <w:bCs/>
                <w:szCs w:val="24"/>
              </w:rPr>
            </w:pPr>
            <w:proofErr w:type="spellStart"/>
            <w:r w:rsidRPr="000F74EE">
              <w:rPr>
                <w:bCs/>
                <w:szCs w:val="24"/>
              </w:rPr>
              <w:lastRenderedPageBreak/>
              <w:t>Vitaliy</w:t>
            </w:r>
            <w:proofErr w:type="spellEnd"/>
            <w:r w:rsidRPr="000F74EE">
              <w:rPr>
                <w:bCs/>
                <w:szCs w:val="24"/>
              </w:rPr>
              <w:t xml:space="preserve"> </w:t>
            </w:r>
            <w:proofErr w:type="spellStart"/>
            <w:r w:rsidRPr="000F74EE">
              <w:rPr>
                <w:bCs/>
                <w:szCs w:val="24"/>
              </w:rPr>
              <w:t>Romanenko</w:t>
            </w:r>
            <w:proofErr w:type="spellEnd"/>
            <w:r w:rsidRPr="000F74EE">
              <w:rPr>
                <w:bCs/>
                <w:szCs w:val="24"/>
              </w:rPr>
              <w:t xml:space="preserve">, Galina </w:t>
            </w:r>
            <w:proofErr w:type="spellStart"/>
            <w:r w:rsidRPr="000F74EE">
              <w:rPr>
                <w:bCs/>
                <w:szCs w:val="24"/>
              </w:rPr>
              <w:t>Lujanienė</w:t>
            </w:r>
            <w:proofErr w:type="spellEnd"/>
            <w:r w:rsidRPr="000F74EE">
              <w:rPr>
                <w:bCs/>
                <w:szCs w:val="24"/>
              </w:rPr>
              <w:t xml:space="preserve">, Sergej Šemčuk, Raman </w:t>
            </w:r>
            <w:proofErr w:type="spellStart"/>
            <w:r w:rsidRPr="000F74EE">
              <w:rPr>
                <w:bCs/>
                <w:szCs w:val="24"/>
              </w:rPr>
              <w:t>Novikau</w:t>
            </w:r>
            <w:proofErr w:type="spellEnd"/>
            <w:r w:rsidRPr="000F74EE">
              <w:rPr>
                <w:bCs/>
                <w:szCs w:val="24"/>
              </w:rPr>
              <w:t xml:space="preserve">, Jonas </w:t>
            </w:r>
            <w:proofErr w:type="spellStart"/>
            <w:r w:rsidRPr="000F74EE">
              <w:rPr>
                <w:bCs/>
                <w:szCs w:val="24"/>
              </w:rPr>
              <w:t>Mažeika</w:t>
            </w:r>
            <w:proofErr w:type="spellEnd"/>
            <w:r w:rsidRPr="000F74EE">
              <w:rPr>
                <w:bCs/>
                <w:szCs w:val="24"/>
              </w:rPr>
              <w:t xml:space="preserve">, Olga Jefanova, Assessment of radionuclide input into the Curonian Lagoon by suspended matter, international conference on radiation in various fields of research (RAD2020), 25-29th July, 2022, </w:t>
            </w:r>
            <w:proofErr w:type="spellStart"/>
            <w:r w:rsidRPr="000F74EE">
              <w:rPr>
                <w:bCs/>
                <w:szCs w:val="24"/>
              </w:rPr>
              <w:t>Herceg</w:t>
            </w:r>
            <w:proofErr w:type="spellEnd"/>
            <w:r w:rsidRPr="000F74EE">
              <w:rPr>
                <w:bCs/>
                <w:szCs w:val="24"/>
              </w:rPr>
              <w:t xml:space="preserve"> Novi, Montenegro. Poster.</w:t>
            </w:r>
          </w:p>
          <w:p w14:paraId="2B40504B" w14:textId="134FDC60" w:rsidR="000F74EE" w:rsidRPr="000F74EE" w:rsidRDefault="000F74EE" w:rsidP="000F74EE">
            <w:pPr>
              <w:spacing w:after="0" w:line="259" w:lineRule="auto"/>
              <w:ind w:left="0" w:firstLine="600"/>
              <w:rPr>
                <w:bCs/>
                <w:szCs w:val="24"/>
              </w:rPr>
            </w:pPr>
            <w:proofErr w:type="spellStart"/>
            <w:r w:rsidRPr="000F74EE">
              <w:rPr>
                <w:bCs/>
                <w:szCs w:val="24"/>
              </w:rPr>
              <w:t>Vitaliy</w:t>
            </w:r>
            <w:proofErr w:type="spellEnd"/>
            <w:r w:rsidRPr="000F74EE">
              <w:rPr>
                <w:bCs/>
                <w:szCs w:val="24"/>
              </w:rPr>
              <w:t xml:space="preserve"> </w:t>
            </w:r>
            <w:proofErr w:type="spellStart"/>
            <w:r w:rsidRPr="000F74EE">
              <w:rPr>
                <w:bCs/>
                <w:szCs w:val="24"/>
              </w:rPr>
              <w:t>Romanenko</w:t>
            </w:r>
            <w:proofErr w:type="spellEnd"/>
            <w:r w:rsidRPr="000F74EE">
              <w:rPr>
                <w:bCs/>
                <w:szCs w:val="24"/>
              </w:rPr>
              <w:t xml:space="preserve">, Galina </w:t>
            </w:r>
            <w:proofErr w:type="spellStart"/>
            <w:r w:rsidRPr="000F74EE">
              <w:rPr>
                <w:bCs/>
                <w:szCs w:val="24"/>
              </w:rPr>
              <w:t>Lujanienė</w:t>
            </w:r>
            <w:proofErr w:type="spellEnd"/>
            <w:r w:rsidRPr="000F74EE">
              <w:rPr>
                <w:bCs/>
                <w:szCs w:val="24"/>
              </w:rPr>
              <w:t xml:space="preserve">, Sergej Šemčuk, Jonas </w:t>
            </w:r>
            <w:proofErr w:type="spellStart"/>
            <w:r w:rsidRPr="000F74EE">
              <w:rPr>
                <w:bCs/>
                <w:szCs w:val="24"/>
              </w:rPr>
              <w:t>Mažeika</w:t>
            </w:r>
            <w:proofErr w:type="spellEnd"/>
            <w:r w:rsidRPr="000F74EE">
              <w:rPr>
                <w:bCs/>
                <w:szCs w:val="24"/>
              </w:rPr>
              <w:t xml:space="preserve">, Olga Jefanova, Investigation of the transport of 239,240Pu and 137Cs in the water system Curonian Lagoon – Neman River, Conference of Doctoral Students and Young Researchers </w:t>
            </w:r>
            <w:proofErr w:type="spellStart"/>
            <w:r w:rsidRPr="000F74EE">
              <w:rPr>
                <w:bCs/>
                <w:szCs w:val="24"/>
              </w:rPr>
              <w:t>FizTech</w:t>
            </w:r>
            <w:proofErr w:type="spellEnd"/>
            <w:r w:rsidRPr="000F74EE">
              <w:rPr>
                <w:bCs/>
                <w:szCs w:val="24"/>
              </w:rPr>
              <w:t xml:space="preserve"> (FizTech2022), 19-20th October 2022, Vilnius, Lithuania, oral presentation.</w:t>
            </w:r>
          </w:p>
        </w:tc>
      </w:tr>
    </w:tbl>
    <w:p w14:paraId="5B65277B" w14:textId="33ADC1CF" w:rsidR="00846FB8" w:rsidRPr="00BD69F2" w:rsidRDefault="00846FB8" w:rsidP="00846FB8">
      <w:pPr>
        <w:spacing w:after="0" w:line="259" w:lineRule="auto"/>
        <w:ind w:left="0" w:firstLine="0"/>
        <w:jc w:val="left"/>
        <w:rPr>
          <w:szCs w:val="24"/>
        </w:rPr>
      </w:pPr>
      <w:r w:rsidRPr="00BD69F2">
        <w:rPr>
          <w:szCs w:val="24"/>
        </w:rPr>
        <w:lastRenderedPageBreak/>
        <w:tab/>
      </w:r>
    </w:p>
    <w:p w14:paraId="33FA08C6" w14:textId="3FCDBCEB" w:rsidR="009604D8" w:rsidRPr="00BD69F2" w:rsidRDefault="00BD69F2" w:rsidP="00BE5301">
      <w:pPr>
        <w:spacing w:after="268" w:line="259" w:lineRule="auto"/>
        <w:ind w:left="0" w:firstLine="0"/>
        <w:jc w:val="left"/>
        <w:rPr>
          <w:szCs w:val="24"/>
        </w:rPr>
      </w:pPr>
      <w:r w:rsidRPr="00BD69F2">
        <w:rPr>
          <w:szCs w:val="24"/>
        </w:rPr>
        <w:tab/>
      </w:r>
    </w:p>
    <w:p w14:paraId="1A2F611C" w14:textId="77777777" w:rsidR="009604D8" w:rsidRPr="00BD69F2" w:rsidRDefault="00BD69F2">
      <w:pPr>
        <w:spacing w:after="0" w:line="259" w:lineRule="auto"/>
        <w:ind w:left="358" w:firstLine="0"/>
        <w:jc w:val="left"/>
        <w:rPr>
          <w:szCs w:val="24"/>
        </w:rPr>
      </w:pPr>
      <w:r w:rsidRPr="00BD69F2">
        <w:rPr>
          <w:szCs w:val="24"/>
        </w:rPr>
        <w:t xml:space="preserve"> </w:t>
      </w:r>
    </w:p>
    <w:sectPr w:rsidR="009604D8" w:rsidRPr="00BD69F2">
      <w:headerReference w:type="even" r:id="rId8"/>
      <w:headerReference w:type="default" r:id="rId9"/>
      <w:headerReference w:type="first" r:id="rId10"/>
      <w:pgSz w:w="11906" w:h="16838"/>
      <w:pgMar w:top="1142" w:right="1099" w:bottom="116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69A3" w14:textId="77777777" w:rsidR="002B62D6" w:rsidRDefault="002B62D6">
      <w:pPr>
        <w:spacing w:after="0" w:line="240" w:lineRule="auto"/>
      </w:pPr>
      <w:r>
        <w:separator/>
      </w:r>
    </w:p>
  </w:endnote>
  <w:endnote w:type="continuationSeparator" w:id="0">
    <w:p w14:paraId="7C5BE97D" w14:textId="77777777" w:rsidR="002B62D6" w:rsidRDefault="002B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F48D" w14:textId="77777777" w:rsidR="002B62D6" w:rsidRDefault="002B62D6">
      <w:pPr>
        <w:spacing w:after="0" w:line="240" w:lineRule="auto"/>
      </w:pPr>
      <w:r>
        <w:separator/>
      </w:r>
    </w:p>
  </w:footnote>
  <w:footnote w:type="continuationSeparator" w:id="0">
    <w:p w14:paraId="3C16A070" w14:textId="77777777" w:rsidR="002B62D6" w:rsidRDefault="002B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C080" w14:textId="77777777" w:rsidR="009604D8" w:rsidRDefault="00BD69F2">
    <w:pPr>
      <w:tabs>
        <w:tab w:val="right" w:pos="967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9E3C" w14:textId="77777777" w:rsidR="009604D8" w:rsidRDefault="00BD69F2">
    <w:pPr>
      <w:tabs>
        <w:tab w:val="right" w:pos="967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7AC2">
      <w:rPr>
        <w:noProof/>
      </w:rPr>
      <w:t>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5534" w14:textId="77777777" w:rsidR="009604D8" w:rsidRDefault="009604D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CE8"/>
    <w:multiLevelType w:val="hybridMultilevel"/>
    <w:tmpl w:val="8698FD64"/>
    <w:lvl w:ilvl="0" w:tplc="89B6751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A4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66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033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8BA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807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71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21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240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60B41"/>
    <w:multiLevelType w:val="hybridMultilevel"/>
    <w:tmpl w:val="D264F726"/>
    <w:lvl w:ilvl="0" w:tplc="7D6625B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33C"/>
    <w:multiLevelType w:val="hybridMultilevel"/>
    <w:tmpl w:val="87AA2E58"/>
    <w:lvl w:ilvl="0" w:tplc="57EC538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6791"/>
    <w:multiLevelType w:val="hybridMultilevel"/>
    <w:tmpl w:val="CD48D470"/>
    <w:lvl w:ilvl="0" w:tplc="70328F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2DEAC">
      <w:start w:val="1"/>
      <w:numFmt w:val="decimal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6454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CC4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E346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046E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E2BB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2B92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2E87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B268B"/>
    <w:multiLevelType w:val="hybridMultilevel"/>
    <w:tmpl w:val="C60C547A"/>
    <w:lvl w:ilvl="0" w:tplc="3EF0F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0D4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3A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074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AD0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AFB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CCD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E7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C5B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284137"/>
    <w:multiLevelType w:val="hybridMultilevel"/>
    <w:tmpl w:val="3EAE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B4768"/>
    <w:multiLevelType w:val="hybridMultilevel"/>
    <w:tmpl w:val="5524CABE"/>
    <w:lvl w:ilvl="0" w:tplc="7D6625B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59F"/>
    <w:multiLevelType w:val="hybridMultilevel"/>
    <w:tmpl w:val="F70C1FBA"/>
    <w:lvl w:ilvl="0" w:tplc="636453D8">
      <w:start w:val="6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87B4">
      <w:start w:val="1"/>
      <w:numFmt w:val="decimal"/>
      <w:lvlText w:val="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AEB0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2F0D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42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65B5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2E6D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24D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972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2B72DE"/>
    <w:multiLevelType w:val="hybridMultilevel"/>
    <w:tmpl w:val="1040B870"/>
    <w:lvl w:ilvl="0" w:tplc="2CEA61C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1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CA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2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4E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04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66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05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AE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8"/>
    <w:rsid w:val="00073179"/>
    <w:rsid w:val="000F74EE"/>
    <w:rsid w:val="00206EB1"/>
    <w:rsid w:val="002A7067"/>
    <w:rsid w:val="002B62D6"/>
    <w:rsid w:val="003902FE"/>
    <w:rsid w:val="003F4959"/>
    <w:rsid w:val="0068303D"/>
    <w:rsid w:val="006F4539"/>
    <w:rsid w:val="00846FB8"/>
    <w:rsid w:val="008D0E7C"/>
    <w:rsid w:val="009604D8"/>
    <w:rsid w:val="009C283C"/>
    <w:rsid w:val="00A768C4"/>
    <w:rsid w:val="00B73A0F"/>
    <w:rsid w:val="00BB367E"/>
    <w:rsid w:val="00BD69F2"/>
    <w:rsid w:val="00BE5301"/>
    <w:rsid w:val="00D834ED"/>
    <w:rsid w:val="00DB64EE"/>
    <w:rsid w:val="00EA6938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087A2"/>
  <w15:docId w15:val="{4927B734-B142-4F1E-8820-4C5575E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rgg.2017.06.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Daiva</dc:creator>
  <cp:keywords/>
  <cp:lastModifiedBy>Jonas Mažeika</cp:lastModifiedBy>
  <cp:revision>17</cp:revision>
  <dcterms:created xsi:type="dcterms:W3CDTF">2023-11-15T07:33:00Z</dcterms:created>
  <dcterms:modified xsi:type="dcterms:W3CDTF">2023-11-17T09:01:00Z</dcterms:modified>
</cp:coreProperties>
</file>