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b/>
          <w:sz w:val="36"/>
          <w:szCs w:val="28"/>
          <w:lang w:val="lt-LT"/>
        </w:rPr>
      </w:pPr>
      <w:r>
        <w:rPr>
          <w:b/>
          <w:sz w:val="36"/>
          <w:szCs w:val="28"/>
          <w:lang w:val="lt-LT"/>
        </w:rPr>
        <w:t>Modestas Petrauskas</w:t>
      </w:r>
    </w:p>
    <w:p>
      <w:pPr>
        <w:pStyle w:val="Normal"/>
        <w:bidi w:val="0"/>
        <w:jc w:val="start"/>
        <w:rPr>
          <w:lang w:val="lt-LT"/>
        </w:rPr>
      </w:pPr>
      <w:r>
        <w:rPr>
          <w:lang w:val="lt-LT"/>
        </w:rPr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9638"/>
      </w:tblGrid>
      <w:tr>
        <w:trPr/>
        <w:tc>
          <w:tcPr>
            <w:tcW w:w="9638" w:type="dxa"/>
            <w:tcBorders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lang w:val="lt-LT"/>
              </w:rPr>
            </w:pPr>
            <w:r>
              <w:rPr>
                <w:b/>
                <w:caps/>
                <w:lang w:val="lt-LT"/>
              </w:rPr>
              <w:t>Contact Information</w:t>
            </w:r>
          </w:p>
        </w:tc>
      </w:tr>
    </w:tbl>
    <w:p>
      <w:pPr>
        <w:pStyle w:val="Normal"/>
        <w:bidi w:val="0"/>
        <w:jc w:val="start"/>
        <w:rPr>
          <w:b/>
          <w:lang w:val="lt-LT"/>
        </w:rPr>
      </w:pPr>
      <w:r>
        <w:rPr>
          <w:b/>
          <w:lang w:val="lt-LT"/>
        </w:rPr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4179"/>
        <w:gridCol w:w="5212"/>
        <w:gridCol w:w="247"/>
      </w:tblGrid>
      <w:tr>
        <w:trPr/>
        <w:tc>
          <w:tcPr>
            <w:tcW w:w="4179" w:type="dxa"/>
            <w:tcBorders/>
          </w:tcPr>
          <w:p>
            <w:pPr>
              <w:pStyle w:val="Normal"/>
              <w:bidi w:val="0"/>
              <w:jc w:val="start"/>
              <w:rPr>
                <w:lang w:val="lt-LT"/>
              </w:rPr>
            </w:pPr>
            <w:r>
              <w:rPr>
                <w:lang w:val="lt-LT"/>
              </w:rPr>
              <w:t>Address</w:t>
            </w:r>
          </w:p>
        </w:tc>
        <w:tc>
          <w:tcPr>
            <w:tcW w:w="5212" w:type="dxa"/>
            <w:tcBorders/>
          </w:tcPr>
          <w:p>
            <w:pPr>
              <w:pStyle w:val="Normal"/>
              <w:bidi w:val="0"/>
              <w:jc w:val="start"/>
              <w:rPr>
                <w:b/>
                <w:lang w:val="lt-LT"/>
              </w:rPr>
            </w:pPr>
            <w:r>
              <w:rPr>
                <w:lang w:val="lt-LT"/>
              </w:rPr>
              <w:t>Akademijos g. 2, Vilnius LT-08412, Lithuania</w:t>
            </w:r>
          </w:p>
        </w:tc>
        <w:tc>
          <w:tcPr>
            <w:tcW w:w="247" w:type="dxa"/>
            <w:vMerge w:val="restart"/>
            <w:tcBorders/>
          </w:tcPr>
          <w:p>
            <w:pPr>
              <w:pStyle w:val="Normal"/>
              <w:bidi w:val="0"/>
              <w:jc w:val="end"/>
              <w:rPr>
                <w:b/>
                <w:lang w:val="lt-LT"/>
              </w:rPr>
            </w:pPr>
            <w:r>
              <w:rPr>
                <w:b/>
                <w:lang w:val="lt-LT"/>
              </w:rPr>
            </w:r>
          </w:p>
        </w:tc>
      </w:tr>
      <w:tr>
        <w:trPr/>
        <w:tc>
          <w:tcPr>
            <w:tcW w:w="4179" w:type="dxa"/>
            <w:tcBorders/>
          </w:tcPr>
          <w:p>
            <w:pPr>
              <w:pStyle w:val="Normal"/>
              <w:bidi w:val="0"/>
              <w:jc w:val="start"/>
              <w:rPr>
                <w:lang w:val="lt-LT"/>
              </w:rPr>
            </w:pPr>
            <w:r>
              <w:rPr>
                <w:lang w:val="lt-LT"/>
              </w:rPr>
              <w:t>Phone:</w:t>
            </w:r>
          </w:p>
        </w:tc>
        <w:tc>
          <w:tcPr>
            <w:tcW w:w="5212" w:type="dxa"/>
            <w:tcBorders/>
          </w:tcPr>
          <w:p>
            <w:pPr>
              <w:pStyle w:val="Normal"/>
              <w:bidi w:val="0"/>
              <w:jc w:val="start"/>
              <w:rPr>
                <w:b/>
                <w:lang w:val="lt-LT"/>
              </w:rPr>
            </w:pPr>
            <w:r>
              <w:rPr>
                <w:lang w:val="lt-LT"/>
              </w:rPr>
              <w:t>+37069139022</w:t>
            </w:r>
          </w:p>
        </w:tc>
        <w:tc>
          <w:tcPr>
            <w:tcW w:w="247" w:type="dxa"/>
            <w:vMerge w:val="continue"/>
            <w:tcBorders/>
          </w:tcPr>
          <w:p>
            <w:pPr>
              <w:pStyle w:val="Normal"/>
              <w:bidi w:val="0"/>
              <w:jc w:val="start"/>
              <w:rPr>
                <w:b/>
                <w:lang w:val="lt-LT"/>
              </w:rPr>
            </w:pPr>
            <w:r>
              <w:rPr>
                <w:b/>
                <w:lang w:val="lt-LT"/>
              </w:rPr>
            </w:r>
          </w:p>
        </w:tc>
      </w:tr>
      <w:tr>
        <w:trPr/>
        <w:tc>
          <w:tcPr>
            <w:tcW w:w="4179" w:type="dxa"/>
            <w:tcBorders/>
          </w:tcPr>
          <w:p>
            <w:pPr>
              <w:pStyle w:val="Normal"/>
              <w:bidi w:val="0"/>
              <w:jc w:val="start"/>
              <w:rPr>
                <w:lang w:val="lt-LT"/>
              </w:rPr>
            </w:pPr>
            <w:r>
              <w:rPr>
                <w:bCs/>
                <w:lang w:val="lt-LT"/>
              </w:rPr>
              <w:t>E-mail:</w:t>
            </w:r>
          </w:p>
        </w:tc>
        <w:tc>
          <w:tcPr>
            <w:tcW w:w="5212" w:type="dxa"/>
            <w:tcBorders/>
          </w:tcPr>
          <w:p>
            <w:pPr>
              <w:pStyle w:val="Normal"/>
              <w:bidi w:val="0"/>
              <w:jc w:val="start"/>
              <w:rPr>
                <w:b/>
                <w:lang w:val="lt-LT"/>
              </w:rPr>
            </w:pPr>
            <w:r>
              <w:rPr>
                <w:rStyle w:val="Hyperlink"/>
                <w:lang w:val="lt-LT"/>
              </w:rPr>
              <w:t>modestas.petrauskas@gamtc.lt</w:t>
            </w:r>
          </w:p>
        </w:tc>
        <w:tc>
          <w:tcPr>
            <w:tcW w:w="247" w:type="dxa"/>
            <w:vMerge w:val="continue"/>
            <w:tcBorders/>
          </w:tcPr>
          <w:p>
            <w:pPr>
              <w:pStyle w:val="Normal"/>
              <w:bidi w:val="0"/>
              <w:jc w:val="start"/>
              <w:rPr>
                <w:b/>
                <w:lang w:val="lt-LT"/>
              </w:rPr>
            </w:pPr>
            <w:r>
              <w:rPr>
                <w:b/>
                <w:lang w:val="lt-LT"/>
              </w:rPr>
            </w:r>
          </w:p>
        </w:tc>
      </w:tr>
      <w:tr>
        <w:trPr>
          <w:trHeight w:val="562" w:hRule="atLeast"/>
        </w:trPr>
        <w:tc>
          <w:tcPr>
            <w:tcW w:w="4179" w:type="dxa"/>
            <w:tcBorders/>
          </w:tcPr>
          <w:p>
            <w:pPr>
              <w:pStyle w:val="Normal"/>
              <w:bidi w:val="0"/>
              <w:jc w:val="start"/>
              <w:rPr>
                <w:lang w:val="lt-LT"/>
              </w:rPr>
            </w:pPr>
            <w:r>
              <w:rPr>
                <w:lang w:val="lt-LT"/>
              </w:rPr>
            </w:r>
          </w:p>
        </w:tc>
        <w:tc>
          <w:tcPr>
            <w:tcW w:w="5212" w:type="dxa"/>
            <w:tcBorders/>
          </w:tcPr>
          <w:p>
            <w:pPr>
              <w:pStyle w:val="Normal"/>
              <w:bidi w:val="0"/>
              <w:jc w:val="start"/>
              <w:rPr>
                <w:lang w:val="lt-LT"/>
              </w:rPr>
            </w:pPr>
            <w:r>
              <w:rPr>
                <w:lang w:val="lt-LT"/>
              </w:rPr>
            </w:r>
          </w:p>
        </w:tc>
        <w:tc>
          <w:tcPr>
            <w:tcW w:w="247" w:type="dxa"/>
            <w:vMerge w:val="continue"/>
            <w:tcBorders/>
          </w:tcPr>
          <w:p>
            <w:pPr>
              <w:pStyle w:val="Normal"/>
              <w:bidi w:val="0"/>
              <w:jc w:val="start"/>
              <w:rPr>
                <w:b/>
                <w:lang w:val="lt-LT"/>
              </w:rPr>
            </w:pPr>
            <w:r>
              <w:rPr>
                <w:b/>
                <w:lang w:val="lt-LT"/>
              </w:rPr>
            </w:r>
          </w:p>
        </w:tc>
      </w:tr>
      <w:tr>
        <w:trPr/>
        <w:tc>
          <w:tcPr>
            <w:tcW w:w="9638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b/>
                <w:caps/>
                <w:lang w:val="lt-LT"/>
              </w:rPr>
            </w:pPr>
            <w:r>
              <w:rPr>
                <w:b/>
                <w:caps/>
                <w:lang w:val="lt-LT"/>
              </w:rPr>
              <w:t>Education</w:t>
            </w:r>
          </w:p>
        </w:tc>
      </w:tr>
    </w:tbl>
    <w:p>
      <w:pPr>
        <w:pStyle w:val="Normal"/>
        <w:bidi w:val="0"/>
        <w:jc w:val="start"/>
        <w:rPr>
          <w:lang w:val="lt-LT"/>
        </w:rPr>
      </w:pPr>
      <w:r>
        <w:rPr>
          <w:lang w:val="lt-LT"/>
        </w:rPr>
      </w:r>
    </w:p>
    <w:tbl>
      <w:tblPr>
        <w:tblW w:w="988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2092"/>
        <w:gridCol w:w="7796"/>
      </w:tblGrid>
      <w:tr>
        <w:trPr/>
        <w:tc>
          <w:tcPr>
            <w:tcW w:w="2092" w:type="dxa"/>
            <w:tcBorders/>
          </w:tcPr>
          <w:p>
            <w:pPr>
              <w:pStyle w:val="Normal"/>
              <w:bidi w:val="0"/>
              <w:jc w:val="start"/>
              <w:rPr>
                <w:lang w:val="lt-LT"/>
              </w:rPr>
            </w:pPr>
            <w:r>
              <w:rPr>
                <w:lang w:val="lt-LT"/>
              </w:rPr>
              <w:t>2024 – 2026</w:t>
            </w:r>
          </w:p>
        </w:tc>
        <w:tc>
          <w:tcPr>
            <w:tcW w:w="7796" w:type="dxa"/>
            <w:tcBorders/>
          </w:tcPr>
          <w:p>
            <w:pPr>
              <w:pStyle w:val="Normal"/>
              <w:bidi w:val="0"/>
              <w:jc w:val="both"/>
              <w:rPr>
                <w:lang w:val="lt-LT"/>
              </w:rPr>
            </w:pPr>
            <w:r>
              <w:rPr>
                <w:lang w:val="lt-LT"/>
              </w:rPr>
              <w:t xml:space="preserve">Vilnius University, Microbiology / Master’s degree. </w:t>
            </w:r>
          </w:p>
          <w:p>
            <w:pPr>
              <w:pStyle w:val="Normal"/>
              <w:bidi w:val="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Master’s thesis title: “Identification of unicellular protozoa in water samples and analysis of their viability in different seasons”. </w:t>
            </w:r>
          </w:p>
          <w:p>
            <w:pPr>
              <w:pStyle w:val="Normal"/>
              <w:bidi w:val="0"/>
              <w:jc w:val="both"/>
              <w:rPr>
                <w:lang w:val="lt-LT"/>
              </w:rPr>
            </w:pPr>
            <w:r>
              <w:rPr>
                <w:lang w:val="lt-LT"/>
              </w:rPr>
              <w:t xml:space="preserve">The work was carried out at the Nature Research Centre, Laboratory of Genetics. </w:t>
            </w:r>
          </w:p>
          <w:p>
            <w:pPr>
              <w:pStyle w:val="Normal"/>
              <w:bidi w:val="0"/>
              <w:jc w:val="both"/>
              <w:rPr>
                <w:lang w:val="lt-LT"/>
              </w:rPr>
            </w:pPr>
            <w:r>
              <w:rPr/>
            </w:r>
          </w:p>
        </w:tc>
      </w:tr>
      <w:tr>
        <w:trPr/>
        <w:tc>
          <w:tcPr>
            <w:tcW w:w="2092" w:type="dxa"/>
            <w:tcBorders/>
          </w:tcPr>
          <w:p>
            <w:pPr>
              <w:pStyle w:val="Normal"/>
              <w:bidi w:val="0"/>
              <w:jc w:val="start"/>
              <w:rPr>
                <w:lang w:val="lt-LT"/>
              </w:rPr>
            </w:pPr>
            <w:r>
              <w:rPr>
                <w:lang w:val="lt-LT"/>
              </w:rPr>
              <w:t>2020 – 2024</w:t>
            </w:r>
          </w:p>
        </w:tc>
        <w:tc>
          <w:tcPr>
            <w:tcW w:w="7796" w:type="dxa"/>
            <w:tcBorders/>
          </w:tcPr>
          <w:p>
            <w:pPr>
              <w:pStyle w:val="Normal"/>
              <w:bidi w:val="0"/>
              <w:jc w:val="both"/>
              <w:rPr>
                <w:lang w:val="lt-LT"/>
              </w:rPr>
            </w:pPr>
            <w:r>
              <w:rPr>
                <w:lang w:val="lt-LT"/>
              </w:rPr>
              <w:t xml:space="preserve">Vilnius University, Microbiology / Bachelor’s degree. </w:t>
            </w:r>
          </w:p>
          <w:p>
            <w:pPr>
              <w:pStyle w:val="Normal"/>
              <w:bidi w:val="0"/>
              <w:jc w:val="both"/>
              <w:rPr/>
            </w:pPr>
            <w:r>
              <w:rPr/>
              <w:t xml:space="preserve">Thesis title: “Detection of </w:t>
            </w:r>
            <w:r>
              <w:rPr>
                <w:i/>
                <w:iCs/>
              </w:rPr>
              <w:t>Sarcocystis</w:t>
            </w:r>
            <w:r>
              <w:rPr/>
              <w:t xml:space="preserve"> spp. parasitic protozoa in water samples and assessment of their viability”. </w:t>
            </w:r>
          </w:p>
          <w:p>
            <w:pPr>
              <w:pStyle w:val="Normal"/>
              <w:bidi w:val="0"/>
              <w:jc w:val="both"/>
              <w:rPr>
                <w:lang w:val="lt-LT"/>
              </w:rPr>
            </w:pPr>
            <w:r>
              <w:rPr>
                <w:lang w:val="lt-LT"/>
              </w:rPr>
              <w:t xml:space="preserve">The work was carried out at the Nature Research Centre, Laboratory of Genetics. </w:t>
            </w:r>
          </w:p>
        </w:tc>
      </w:tr>
    </w:tbl>
    <w:p>
      <w:pPr>
        <w:pStyle w:val="Normal"/>
        <w:bidi w:val="0"/>
        <w:jc w:val="start"/>
        <w:rPr>
          <w:b/>
          <w:lang w:val="lt-LT"/>
        </w:rPr>
      </w:pPr>
      <w:r>
        <w:rPr>
          <w:b/>
          <w:lang w:val="lt-LT"/>
        </w:rPr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9638"/>
      </w:tblGrid>
      <w:tr>
        <w:trPr/>
        <w:tc>
          <w:tcPr>
            <w:tcW w:w="9638" w:type="dxa"/>
            <w:tcBorders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b/>
                <w:lang w:val="lt-LT"/>
              </w:rPr>
            </w:pPr>
            <w:r>
              <w:rPr>
                <w:b/>
                <w:caps/>
                <w:lang w:val="lt-LT"/>
              </w:rPr>
              <w:t>Work Experience</w:t>
            </w:r>
          </w:p>
        </w:tc>
      </w:tr>
    </w:tbl>
    <w:p>
      <w:pPr>
        <w:pStyle w:val="Normal"/>
        <w:bidi w:val="0"/>
        <w:jc w:val="start"/>
        <w:rPr>
          <w:b/>
          <w:lang w:val="lt-LT"/>
        </w:rPr>
      </w:pPr>
      <w:r>
        <w:rPr>
          <w:b/>
          <w:lang w:val="lt-LT"/>
        </w:rPr>
      </w:r>
    </w:p>
    <w:tbl>
      <w:tblPr>
        <w:tblW w:w="9889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2092"/>
        <w:gridCol w:w="7796"/>
      </w:tblGrid>
      <w:tr>
        <w:trPr>
          <w:trHeight w:val="562" w:hRule="atLeast"/>
        </w:trPr>
        <w:tc>
          <w:tcPr>
            <w:tcW w:w="2092" w:type="dxa"/>
            <w:tcBorders/>
          </w:tcPr>
          <w:p>
            <w:pPr>
              <w:pStyle w:val="Normal"/>
              <w:bidi w:val="0"/>
              <w:jc w:val="start"/>
              <w:rPr>
                <w:lang w:val="lt-LT"/>
              </w:rPr>
            </w:pPr>
            <w:r>
              <w:rPr/>
              <w:t xml:space="preserve">2025 12 – present </w:t>
            </w:r>
          </w:p>
        </w:tc>
        <w:tc>
          <w:tcPr>
            <w:tcW w:w="7796" w:type="dxa"/>
            <w:tcBorders/>
          </w:tcPr>
          <w:p>
            <w:pPr>
              <w:pStyle w:val="Normal"/>
              <w:bidi w:val="0"/>
              <w:jc w:val="start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Biologist</w:t>
            </w:r>
          </w:p>
          <w:p>
            <w:pPr>
              <w:pStyle w:val="Normal"/>
              <w:bidi w:val="0"/>
              <w:jc w:val="start"/>
              <w:rPr>
                <w:b/>
                <w:bCs/>
                <w:lang w:val="lt-LT"/>
              </w:rPr>
            </w:pPr>
            <w:r>
              <w:rPr>
                <w:lang w:val="lt-LT"/>
              </w:rPr>
              <w:t xml:space="preserve">Laboratory of Genetics, State Scientific Research Institute Nature Research Centre</w:t>
            </w:r>
          </w:p>
        </w:tc>
      </w:tr>
      <w:tr>
        <w:trPr>
          <w:trHeight w:val="57" w:hRule="atLeast"/>
        </w:trPr>
        <w:tc>
          <w:tcPr>
            <w:tcW w:w="2092" w:type="dxa"/>
            <w:tcBorders/>
          </w:tcPr>
          <w:p>
            <w:pPr>
              <w:pStyle w:val="Normal"/>
              <w:bidi w:val="0"/>
              <w:jc w:val="start"/>
              <w:rPr>
                <w:lang w:val="lt-LT"/>
              </w:rPr>
            </w:pPr>
            <w:r>
              <w:rPr>
                <w:lang w:val="lt-LT"/>
              </w:rPr>
              <w:t xml:space="preserve">2024 07 – 2025 12</w:t>
            </w:r>
          </w:p>
        </w:tc>
        <w:tc>
          <w:tcPr>
            <w:tcW w:w="7796" w:type="dxa"/>
            <w:tcBorders/>
          </w:tcPr>
          <w:p>
            <w:pPr>
              <w:pStyle w:val="Normal"/>
              <w:bidi w:val="0"/>
              <w:jc w:val="start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Senior Laboratory Assistant</w:t>
            </w:r>
          </w:p>
          <w:p>
            <w:pPr>
              <w:pStyle w:val="Normal"/>
              <w:bidi w:val="0"/>
              <w:jc w:val="start"/>
              <w:rPr>
                <w:b/>
                <w:bCs/>
                <w:lang w:val="lt-LT"/>
              </w:rPr>
            </w:pPr>
            <w:r>
              <w:rPr>
                <w:lang w:val="lt-LT"/>
              </w:rPr>
              <w:t xml:space="preserve">Laboratory of Genetics, State Scientific Research Institute Nature Research Centre</w:t>
            </w:r>
          </w:p>
        </w:tc>
      </w:tr>
    </w:tbl>
    <w:p>
      <w:pPr>
        <w:pStyle w:val="Normal"/>
        <w:bidi w:val="0"/>
        <w:jc w:val="start"/>
        <w:rPr>
          <w:lang w:val="lt-LT"/>
        </w:rPr>
      </w:pPr>
      <w:r>
        <w:rPr>
          <w:lang w:val="lt-LT"/>
        </w:rPr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9638"/>
      </w:tblGrid>
      <w:tr>
        <w:trPr/>
        <w:tc>
          <w:tcPr>
            <w:tcW w:w="9638" w:type="dxa"/>
            <w:tcBorders/>
          </w:tcPr>
          <w:p>
            <w:pPr>
              <w:pStyle w:val="Normal"/>
              <w:rPr>
                <w:b/>
                <w:caps/>
                <w:lang w:val="lt-LT"/>
              </w:rPr>
            </w:pPr>
            <w:r>
              <w:rPr>
                <w:b/>
                <w:caps/>
                <w:lang w:val="lt-LT"/>
              </w:rPr>
              <w:t>Research Interests</w:t>
            </w:r>
          </w:p>
        </w:tc>
      </w:tr>
      <w:tr>
        <w:trPr/>
        <w:tc>
          <w:tcPr>
            <w:tcW w:w="9638" w:type="dxa"/>
            <w:tcBorders>
              <w:bottom w:val="single" w:sz="6" w:space="0" w:color="000000"/>
            </w:tcBorders>
          </w:tcPr>
          <w:p>
            <w:pPr>
              <w:pStyle w:val="Normal"/>
              <w:jc w:val="both"/>
              <w:rPr>
                <w:b/>
                <w:bCs/>
                <w:lang w:val="lt-LT"/>
              </w:rPr>
            </w:pPr>
            <w:r>
              <w:rPr>
                <w:lang w:val="lt-LT"/>
              </w:rPr>
              <w:t>Research area: identification of Sarcocystis parasites in the natural environment, with particular emphasis on</w:t>
            </w:r>
          </w:p>
          <w:p>
            <w:pPr>
              <w:pStyle w:val="Normal"/>
              <w:jc w:val="both"/>
              <w:rPr>
                <w:b/>
                <w:bCs/>
                <w:lang w:val="lt-LT"/>
              </w:rPr>
            </w:pPr>
            <w:r>
              <w:rPr>
                <w:lang w:val="lt-LT"/>
              </w:rPr>
              <w:t>viability studies, using various microbiological and molecular biology methods.</w:t>
            </w:r>
          </w:p>
        </w:tc>
      </w:tr>
    </w:tbl>
    <w:p>
      <w:pPr>
        <w:pStyle w:val="Normal"/>
        <w:bidi w:val="0"/>
        <w:jc w:val="start"/>
        <w:rPr>
          <w:lang w:val="lt-LT"/>
        </w:rPr>
      </w:pPr>
      <w:r>
        <w:rPr>
          <w:lang w:val="lt-LT"/>
        </w:rPr>
      </w:r>
    </w:p>
    <w:p>
      <w:pPr>
        <w:pStyle w:val="Normal"/>
        <w:rPr>
          <w:b/>
          <w:lang w:val="lt-LT"/>
        </w:rPr>
      </w:pPr>
      <w:r>
        <w:rPr>
          <w:b/>
          <w:lang w:val="lt-LT"/>
        </w:rPr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9638"/>
      </w:tblGrid>
      <w:tr>
        <w:trPr/>
        <w:tc>
          <w:tcPr>
            <w:tcW w:w="9638" w:type="dxa"/>
            <w:tcBorders>
              <w:bottom w:val="single" w:sz="4" w:space="0" w:color="000000"/>
            </w:tcBorders>
          </w:tcPr>
          <w:p>
            <w:pPr>
              <w:pStyle w:val="Normal"/>
              <w:rPr>
                <w:b/>
                <w:lang w:val="lt-LT"/>
              </w:rPr>
            </w:pPr>
            <w:r>
              <w:rPr>
                <w:b/>
                <w:caps/>
                <w:lang w:val="lt-LT"/>
              </w:rPr>
              <w:t xml:space="preserve">Publications </w:t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lang w:val="lt-LT"/>
        </w:rPr>
      </w:pPr>
      <w:r>
        <w:rPr>
          <w:b/>
          <w:bCs/>
          <w:i/>
          <w:iCs/>
          <w:lang w:val="lt-LT"/>
        </w:rPr>
        <w:t>Scientific articles in journals with a citation index in the Clarivate Analytics Web of Science database:</w:t>
      </w:r>
    </w:p>
    <w:p>
      <w:pPr>
        <w:pStyle w:val="Normal"/>
        <w:spacing w:lineRule="auto" w:line="276"/>
        <w:ind w:hanging="709" w:start="709"/>
        <w:jc w:val="both"/>
        <w:rPr>
          <w:rStyle w:val="documentsubmittingauthor"/>
          <w:iCs/>
          <w:lang w:val="lt-LT"/>
        </w:rPr>
      </w:pPr>
      <w:r>
        <w:rPr>
          <w:iCs/>
          <w:lang w:val="lt-LT"/>
        </w:rPr>
      </w:r>
    </w:p>
    <w:p>
      <w:pPr>
        <w:pStyle w:val="NoSpacing"/>
        <w:numPr>
          <w:ilvl w:val="0"/>
          <w:numId w:val="1"/>
        </w:numPr>
        <w:ind w:hanging="426" w:start="42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Ucar, A. M., Paliovkinas, D., Strazdaitė-Žielienė, Ž., </w:t>
      </w: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Petrauskas, M.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, Servienė, E., &amp; Lukša-Žebelovič, J. (2026). Cross-Kingdom Antagonistic Interactions Between Environmental Antibiotic-Resistant Bacteria and Yeasts in Pastoral Ecosystems. Microorganisms, 14(5), 991. </w:t>
      </w:r>
      <w:hyperlink r:id="rId3">
        <w:r>
          <w:rPr>
            <w:rStyle w:val="Hyperlink"/>
            <w:rFonts w:cs="Times New Roman" w:ascii="Times New Roman" w:hAnsi="Times New Roman"/>
            <w:sz w:val="24"/>
            <w:szCs w:val="24"/>
            <w:lang w:val="en-US"/>
          </w:rPr>
          <w:t>https://doi.org/10.3390/microorganisms14050991</w:t>
        </w:r>
      </w:hyperlink>
    </w:p>
    <w:p>
      <w:pPr>
        <w:pStyle w:val="NoSpacing"/>
        <w:ind w:hanging="0" w:start="426"/>
        <w:jc w:val="both"/>
        <w:rPr/>
      </w:pPr>
      <w:r>
        <w:rPr/>
      </w:r>
    </w:p>
    <w:p>
      <w:pPr>
        <w:pStyle w:val="NoSpacing"/>
        <w:numPr>
          <w:ilvl w:val="0"/>
          <w:numId w:val="1"/>
        </w:numPr>
        <w:ind w:hanging="426" w:start="426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Baranauskaitė, A., Prakas, </w:t>
      </w: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  <w:t>P., Petrauskas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, M., Rubiola, S., Servienė, E., &amp; Strazdaitė-Žielienė, Ž. (2025). Detection of Sarcocystis parasites in environmental samples from Lithuanian farms. Food and Waterborne Parasitology, 39, Article e00267. </w:t>
      </w:r>
      <w:hyperlink r:id="rId5">
        <w:r>
          <w:rPr>
            <w:rStyle w:val="Hyperlink"/>
            <w:rFonts w:cs="Times New Roman" w:ascii="Times New Roman" w:hAnsi="Times New Roman"/>
            <w:sz w:val="24"/>
            <w:szCs w:val="24"/>
            <w:lang w:val="en-US"/>
          </w:rPr>
          <w:t>https://doi.org/10.1016/j.fawpar.2025.e00267</w:t>
        </w:r>
      </w:hyperlink>
    </w:p>
    <w:p>
      <w:pPr>
        <w:pStyle w:val="Normal"/>
        <w:spacing w:lineRule="auto" w:line="276"/>
        <w:ind w:hanging="0" w:start="426"/>
        <w:jc w:val="both"/>
        <w:rPr>
          <w:b/>
          <w:u w:val="single"/>
          <w:lang w:val="lt-LT"/>
        </w:rPr>
      </w:pPr>
      <w:r>
        <w:rPr>
          <w:b/>
          <w:u w:val="single"/>
          <w:lang w:val="lt-LT"/>
        </w:rPr>
      </w:r>
    </w:p>
    <w:p>
      <w:pPr>
        <w:pStyle w:val="Normal"/>
        <w:spacing w:lineRule="auto" w:line="276"/>
        <w:ind w:hanging="0" w:start="426"/>
        <w:jc w:val="both"/>
        <w:rPr>
          <w:b/>
          <w:u w:val="single"/>
          <w:lang w:val="lt-LT"/>
        </w:rPr>
      </w:pPr>
      <w:r>
        <w:rPr>
          <w:b/>
          <w:u w:val="single"/>
          <w:lang w:val="lt-LT"/>
        </w:rPr>
      </w:r>
    </w:p>
    <w:p>
      <w:pPr>
        <w:pStyle w:val="Normal"/>
        <w:spacing w:lineRule="auto" w:line="276"/>
        <w:ind w:hanging="0" w:start="426"/>
        <w:jc w:val="both"/>
        <w:rPr>
          <w:b/>
          <w:u w:val="single"/>
          <w:lang w:val="lt-LT"/>
        </w:rPr>
      </w:pPr>
      <w:r>
        <w:rPr>
          <w:b/>
          <w:u w:val="single"/>
          <w:lang w:val="lt-LT"/>
        </w:rPr>
      </w:r>
    </w:p>
    <w:tbl>
      <w:tblPr>
        <w:tblW w:w="963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9638"/>
      </w:tblGrid>
      <w:tr>
        <w:trPr/>
        <w:tc>
          <w:tcPr>
            <w:tcW w:w="9638" w:type="dxa"/>
            <w:tcBorders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ind w:hanging="0" w:start="426"/>
              <w:rPr>
                <w:b/>
                <w:bCs/>
                <w:lang w:val="lt-LT"/>
              </w:rPr>
            </w:pPr>
            <w:r>
              <w:rPr>
                <w:b/>
                <w:bCs/>
                <w:caps/>
                <w:lang w:val="lt-LT"/>
              </w:rPr>
              <w:t>Participation in Scientific Conferences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76"/>
        <w:ind w:hanging="0" w:start="426"/>
        <w:rPr>
          <w:bCs/>
          <w:i/>
          <w:i/>
          <w:iCs/>
          <w:caps/>
          <w:lang w:val="lt-LT"/>
        </w:rPr>
      </w:pPr>
      <w:r>
        <w:rPr>
          <w:bCs/>
          <w:i/>
          <w:iCs/>
          <w:caps/>
          <w:lang w:val="lt-LT"/>
        </w:rPr>
      </w:r>
    </w:p>
    <w:p>
      <w:pPr>
        <w:pStyle w:val="Normal"/>
        <w:numPr>
          <w:ilvl w:val="0"/>
          <w:numId w:val="0"/>
        </w:numPr>
        <w:spacing w:lineRule="auto" w:line="276"/>
        <w:ind w:hanging="0" w:start="426"/>
        <w:jc w:val="both"/>
        <w:rPr>
          <w:b/>
          <w:bCs/>
          <w:lang w:val="lt-LT"/>
        </w:rPr>
      </w:pPr>
      <w:r>
        <w:rPr>
          <w:b/>
          <w:bCs/>
          <w:lang w:val="lt-LT"/>
        </w:rPr>
        <w:t xml:space="preserve">International scientific conferences: </w:t>
      </w:r>
    </w:p>
    <w:p>
      <w:pPr>
        <w:pStyle w:val="ListParagraph"/>
        <w:numPr>
          <w:ilvl w:val="0"/>
          <w:numId w:val="0"/>
        </w:numPr>
        <w:ind w:hanging="0" w:start="426"/>
        <w:rPr>
          <w:lang w:val="lt-LT"/>
        </w:rPr>
      </w:pPr>
      <w:r>
        <w:rPr>
          <w:lang w:val="lt-LT"/>
        </w:rPr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Style w:val="documentsubmittingauthor"/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val="en-US"/>
        </w:rPr>
        <w:t>Petrauskas, M.</w:t>
      </w: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>, Prakas, P., Servienė, E., &amp; Strazdaitė-Žielienė, Ž. (2025). Determination of the viability of Sarcocystis spp. oocysts by real-time PCR after treatment with propidium monoazide. International conference “The COINS 2025”, March 17–20, Vilnius, Lithuania. Book of Abstracts, 64.</w:t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Style w:val="documentsubmittingauthor"/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val="en-US"/>
        </w:rPr>
        <w:t>Petrauskas, M.</w:t>
      </w: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>, Prakas, P., Servienė, E., &amp; Strazdaitė-Žielienė, Ž. (2025). Conditional efficiency of propidium monoazide in real-time PCR-based viability testing of Sarcocystis spp. oocysts. “FEBS3+ Baltics”, April 23–25, Vilnius, Lithuania. Book of Abstracts, 126.</w:t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 xml:space="preserve">Strazdaitė-Žielienė, Ž., Lukša, J., Paliovkinas, D., Ucar, A., </w:t>
      </w:r>
      <w:r>
        <w:rPr>
          <w:rStyle w:val="documentsubmittingauthor"/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val="en-US"/>
        </w:rPr>
        <w:t>Petrauskas, M.</w:t>
      </w: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>, Losinska-Sičiūnienė, R., &amp; Servienė, E. (2024). Microorganisms distribution in Lithuanian farmland samples from water, soil, and feed. International Union of Microbiological Societies Congress (IUMS 2024), September 22–25, Florence, Italy.</w:t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 xml:space="preserve">Busilaitė, U., </w:t>
      </w:r>
      <w:r>
        <w:rPr>
          <w:rStyle w:val="documentsubmittingauthor"/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val="en-US"/>
        </w:rPr>
        <w:t>Petrauskas, M.</w:t>
      </w: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>, Strazdaitė-Žielienė, Ž., &amp; Servienė, E. (2024). Control of microbial contamination of club moss spores by essential oils. International conference “The COINS 2024”, April 24–27, Vilnius, Lithuania. Book of Abstracts, 6.</w:t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 xml:space="preserve">Strazdaitė-Žielienė, Ž., Paliovkinas, D., </w:t>
      </w:r>
      <w:r>
        <w:rPr>
          <w:rStyle w:val="documentsubmittingauthor"/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val="en-US"/>
        </w:rPr>
        <w:t>Petrauskas, M.</w:t>
      </w: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 xml:space="preserve">, &amp; Servienė, E. (2023). The diversity of biocidal yeasts in natural and cultural ecosystems. 31st International Conference on Yeast Genetics and Molecular Biology (ICYGMB31), August 20–25, Florence, Italy. Book of Abstracts, 162. </w:t>
      </w:r>
      <w:hyperlink r:id="rId7">
        <w:r>
          <w:rPr>
            <w:rStyle w:val="Hyperlink"/>
            <w:rFonts w:eastAsia="Times New Roman" w:cs="Times New Roman" w:ascii="Times New Roman" w:hAnsi="Times New Roman"/>
            <w:color w:themeColor="text1" w:val="000000"/>
            <w:sz w:val="24"/>
            <w:szCs w:val="24"/>
            <w:lang w:val="en-US"/>
          </w:rPr>
          <w:t>https://www.yeastflorence2023.com/</w:t>
        </w:r>
      </w:hyperlink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 xml:space="preserve">Paliovkinas, D., </w:t>
      </w:r>
      <w:r>
        <w:rPr>
          <w:rStyle w:val="documentsubmittingauthor"/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val="en-US"/>
        </w:rPr>
        <w:t>Petrauskas, M.</w:t>
      </w: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>, Strazdaitė-Žielienė, Ž., &amp; Servienė, E. (2023). Identification and biocidal properties of yeasts isolated from pastures soil. “The COINS 2023”, April 24–27, Vilnius, Lithuania. Book of Abstracts, 6.</w:t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p>
      <w:pPr>
        <w:pStyle w:val="NoSpacing"/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 xml:space="preserve">Baranauskaitė, A., Strazdaitė-Žielienė, Ž., </w:t>
      </w:r>
      <w:r>
        <w:rPr>
          <w:rStyle w:val="documentsubmittingauthor"/>
          <w:rFonts w:eastAsia="Times New Roman" w:cs="Times New Roman" w:ascii="Times New Roman" w:hAnsi="Times New Roman"/>
          <w:b/>
          <w:bCs/>
          <w:color w:themeColor="text1" w:val="000000"/>
          <w:sz w:val="24"/>
          <w:szCs w:val="24"/>
          <w:lang w:val="en-US"/>
        </w:rPr>
        <w:t>Petrauskas, M.</w:t>
      </w:r>
      <w:r>
        <w:rPr>
          <w:rStyle w:val="documentsubmittingauthor"/>
          <w:rFonts w:eastAsia="Times New Roman" w:cs="Times New Roman" w:ascii="Times New Roman" w:hAnsi="Times New Roman"/>
          <w:color w:themeColor="text1" w:val="000000"/>
          <w:sz w:val="24"/>
          <w:szCs w:val="24"/>
          <w:lang w:val="en-US"/>
        </w:rPr>
        <w:t xml:space="preserve">, Paliovkinas, D., Prakas, P., &amp; Servienė, E. (2022). Optimization of molecular identification of Sarcocystis parasites infecting domestic animals. International conference “Microbiology 2022”, April 28—29, Birštonas, Lithuania. Book of Abstracts, 50. </w:t>
      </w:r>
      <w:hyperlink r:id="rId8">
        <w:r>
          <w:rPr>
            <w:rStyle w:val="Hyperlink"/>
            <w:rFonts w:eastAsia="Times New Roman" w:cs="Times New Roman" w:ascii="Times New Roman" w:hAnsi="Times New Roman"/>
            <w:color w:themeColor="text1" w:val="000000"/>
            <w:sz w:val="24"/>
            <w:szCs w:val="24"/>
            <w:lang w:val="en-US"/>
          </w:rPr>
          <w:t>http://www.mikrobiologija.lt/wp-content/uploads/2022/05/Santrauku-knyga-VP.pdf</w:t>
        </w:r>
      </w:hyperlink>
    </w:p>
    <w:p>
      <w:pPr>
        <w:pStyle w:val="NoSpacing"/>
        <w:numPr>
          <w:ilvl w:val="0"/>
          <w:numId w:val="0"/>
        </w:numPr>
        <w:ind w:hanging="0" w:start="426"/>
        <w:jc w:val="both"/>
        <w:rPr>
          <w:rStyle w:val="documentsubmittingauthor"/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i w:val="false"/>
        <w:b w:val="false"/>
        <w:rFonts w:ascii="Times New Roman" w:hAnsi="Times New Roman" w:cs="Times New Roman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FreeSans"/>
      <w:color w:val="auto"/>
      <w:kern w:val="2"/>
      <w:sz w:val="24"/>
      <w:szCs w:val="24"/>
      <w:lang w:val="en-US" w:eastAsia="zh-CN" w:bidi="hi-IN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documentsubmittingauthor">
    <w:name w:val="document_submitting_author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Arial Unicode MS" w:cs="Calibri"/>
      <w:color w:val="auto"/>
      <w:kern w:val="2"/>
      <w:sz w:val="22"/>
      <w:szCs w:val="22"/>
      <w:lang w:val="de-DE" w:eastAsia="ar-SA" w:bidi="hi-IN"/>
    </w:rPr>
  </w:style>
  <w:style w:type="paragraph" w:styleId="ListParagraph">
    <w:name w:val="List Paragraph"/>
    <w:basedOn w:val="Normal"/>
    <w:qFormat/>
    <w:pPr>
      <w:ind w:start="1296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doi.org/10.3390/microorganisms14050991" TargetMode="External"/><Relationship Id="rId3" Type="http://schemas.openxmlformats.org/officeDocument/2006/relationships/hyperlink" Target="" TargetMode="External"/><Relationship Id="rId4" Type="http://schemas.openxmlformats.org/officeDocument/2006/relationships/hyperlink" Target="https://doi.org/10.1016/j.fawpar.2025.e00267" TargetMode="External"/><Relationship Id="rId5" Type="http://schemas.openxmlformats.org/officeDocument/2006/relationships/hyperlink" Target="" TargetMode="External"/><Relationship Id="rId6" Type="http://schemas.openxmlformats.org/officeDocument/2006/relationships/hyperlink" Target="https://www.yeastflorence2023.com/" TargetMode="External"/><Relationship Id="rId7" Type="http://schemas.openxmlformats.org/officeDocument/2006/relationships/hyperlink" Target="" TargetMode="External"/><Relationship Id="rId8" Type="http://schemas.openxmlformats.org/officeDocument/2006/relationships/hyperlink" Target="http://www.mikrobiologija.lt/wp-content/uploads/2022/05/Santrauku-knyga-VP.pdf" TargetMode="Externa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LibreOffice/24.2.7.2$Linux_X86_64 LibreOffice_project/420$Build-2</Application>
  <AppVersion>15.0000</AppVersion>
  <Pages>2</Pages>
  <Words>472</Words>
  <Characters>3576</Characters>
  <CharactersWithSpaces>4012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2026-10-02T11:59:47Z</dcterms:created>
  <dc:creator/>
  <dc:description/>
  <dc:language>en-US</dc:language>
  <cp:lastModifiedBy/>
  <dcterms:modified xsi:type="dcterms:W3CDTF">2026-10-02T12:59:47Z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