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FBBA" w14:textId="77777777" w:rsidR="000E2490" w:rsidRPr="004830E9" w:rsidRDefault="000E2490" w:rsidP="000E2490">
      <w:pPr>
        <w:pStyle w:val="NormalWeb"/>
        <w:spacing w:before="0" w:beforeAutospacing="0" w:after="0" w:afterAutospacing="0" w:line="360" w:lineRule="auto"/>
        <w:rPr>
          <w:color w:val="000000"/>
        </w:rPr>
      </w:pPr>
      <w:proofErr w:type="spellStart"/>
      <w:r w:rsidRPr="00720F22">
        <w:rPr>
          <w:b/>
          <w:bCs/>
          <w:color w:val="000000"/>
        </w:rPr>
        <w:t>Author</w:t>
      </w:r>
      <w:proofErr w:type="spellEnd"/>
      <w:r w:rsidRPr="00720F22">
        <w:rPr>
          <w:b/>
          <w:bCs/>
          <w:color w:val="000000"/>
        </w:rPr>
        <w:t>:</w:t>
      </w:r>
      <w:r w:rsidRPr="004830E9">
        <w:rPr>
          <w:color w:val="000000"/>
        </w:rPr>
        <w:t xml:space="preserve"> </w:t>
      </w:r>
      <w:r w:rsidRPr="004830E9">
        <w:t>Ieva Ignatavičienė</w:t>
      </w:r>
    </w:p>
    <w:p w14:paraId="083FEABC" w14:textId="77777777" w:rsidR="000E2490" w:rsidRPr="004830E9" w:rsidRDefault="000E2490" w:rsidP="000E2490">
      <w:pPr>
        <w:pStyle w:val="NormalWeb"/>
        <w:spacing w:before="0" w:beforeAutospacing="0" w:after="0" w:afterAutospacing="0" w:line="360" w:lineRule="auto"/>
        <w:rPr>
          <w:color w:val="000000"/>
        </w:rPr>
      </w:pPr>
      <w:proofErr w:type="spellStart"/>
      <w:r w:rsidRPr="00720F22">
        <w:rPr>
          <w:b/>
          <w:bCs/>
          <w:color w:val="000000"/>
        </w:rPr>
        <w:t>The</w:t>
      </w:r>
      <w:proofErr w:type="spellEnd"/>
      <w:r w:rsidRPr="00720F22">
        <w:rPr>
          <w:b/>
          <w:bCs/>
          <w:color w:val="000000"/>
        </w:rPr>
        <w:t xml:space="preserve"> </w:t>
      </w:r>
      <w:proofErr w:type="spellStart"/>
      <w:r w:rsidRPr="00720F22">
        <w:rPr>
          <w:b/>
          <w:bCs/>
          <w:color w:val="000000"/>
        </w:rPr>
        <w:t>title</w:t>
      </w:r>
      <w:proofErr w:type="spellEnd"/>
      <w:r w:rsidRPr="00720F22">
        <w:rPr>
          <w:b/>
          <w:bCs/>
          <w:color w:val="000000"/>
        </w:rPr>
        <w:t xml:space="preserve"> of </w:t>
      </w:r>
      <w:proofErr w:type="spellStart"/>
      <w:r w:rsidRPr="00720F22">
        <w:rPr>
          <w:b/>
          <w:bCs/>
          <w:color w:val="000000"/>
        </w:rPr>
        <w:t>dissertation</w:t>
      </w:r>
      <w:proofErr w:type="spellEnd"/>
      <w:r w:rsidRPr="00720F22">
        <w:rPr>
          <w:b/>
          <w:bCs/>
          <w:color w:val="000000"/>
        </w:rPr>
        <w:t>:</w:t>
      </w:r>
      <w:r w:rsidRPr="004830E9">
        <w:rPr>
          <w:color w:val="000000"/>
        </w:rPr>
        <w:t xml:space="preserve"> </w:t>
      </w:r>
      <w:proofErr w:type="spellStart"/>
      <w:r w:rsidRPr="004830E9">
        <w:rPr>
          <w:iCs/>
        </w:rPr>
        <w:t>Factors</w:t>
      </w:r>
      <w:proofErr w:type="spellEnd"/>
      <w:r w:rsidRPr="004830E9">
        <w:rPr>
          <w:iCs/>
        </w:rPr>
        <w:t xml:space="preserve"> </w:t>
      </w:r>
      <w:proofErr w:type="spellStart"/>
      <w:r w:rsidRPr="004830E9">
        <w:rPr>
          <w:iCs/>
        </w:rPr>
        <w:t>shaping</w:t>
      </w:r>
      <w:proofErr w:type="spellEnd"/>
      <w:r w:rsidRPr="004830E9">
        <w:rPr>
          <w:iCs/>
        </w:rPr>
        <w:t xml:space="preserve"> </w:t>
      </w:r>
      <w:proofErr w:type="spellStart"/>
      <w:r w:rsidRPr="004830E9">
        <w:rPr>
          <w:iCs/>
        </w:rPr>
        <w:t>population</w:t>
      </w:r>
      <w:proofErr w:type="spellEnd"/>
      <w:r w:rsidRPr="004830E9">
        <w:rPr>
          <w:iCs/>
        </w:rPr>
        <w:t xml:space="preserve"> </w:t>
      </w:r>
      <w:proofErr w:type="spellStart"/>
      <w:r w:rsidRPr="004830E9">
        <w:rPr>
          <w:iCs/>
        </w:rPr>
        <w:t>genetic</w:t>
      </w:r>
      <w:proofErr w:type="spellEnd"/>
      <w:r w:rsidRPr="004830E9">
        <w:rPr>
          <w:iCs/>
        </w:rPr>
        <w:t xml:space="preserve"> </w:t>
      </w:r>
      <w:proofErr w:type="spellStart"/>
      <w:r w:rsidRPr="004830E9">
        <w:rPr>
          <w:iCs/>
        </w:rPr>
        <w:t>structure</w:t>
      </w:r>
      <w:proofErr w:type="spellEnd"/>
      <w:r w:rsidRPr="004830E9">
        <w:rPr>
          <w:iCs/>
        </w:rPr>
        <w:t xml:space="preserve"> of </w:t>
      </w:r>
      <w:proofErr w:type="spellStart"/>
      <w:r w:rsidRPr="004830E9">
        <w:rPr>
          <w:iCs/>
        </w:rPr>
        <w:t>common</w:t>
      </w:r>
      <w:proofErr w:type="spellEnd"/>
      <w:r w:rsidRPr="004830E9">
        <w:rPr>
          <w:iCs/>
        </w:rPr>
        <w:t xml:space="preserve"> </w:t>
      </w:r>
      <w:proofErr w:type="spellStart"/>
      <w:r w:rsidRPr="004830E9">
        <w:rPr>
          <w:iCs/>
        </w:rPr>
        <w:t>roach</w:t>
      </w:r>
      <w:proofErr w:type="spellEnd"/>
      <w:r w:rsidRPr="004830E9">
        <w:rPr>
          <w:iCs/>
        </w:rPr>
        <w:t xml:space="preserve"> (</w:t>
      </w:r>
      <w:r w:rsidRPr="004830E9">
        <w:rPr>
          <w:i/>
        </w:rPr>
        <w:t>Rutilus rutilus</w:t>
      </w:r>
      <w:r w:rsidRPr="004830E9">
        <w:rPr>
          <w:iCs/>
        </w:rPr>
        <w:t xml:space="preserve">) </w:t>
      </w:r>
      <w:proofErr w:type="spellStart"/>
      <w:r w:rsidRPr="004830E9">
        <w:rPr>
          <w:iCs/>
        </w:rPr>
        <w:t>and</w:t>
      </w:r>
      <w:proofErr w:type="spellEnd"/>
      <w:r w:rsidRPr="004830E9">
        <w:rPr>
          <w:iCs/>
        </w:rPr>
        <w:t xml:space="preserve"> </w:t>
      </w:r>
      <w:proofErr w:type="spellStart"/>
      <w:r w:rsidRPr="004830E9">
        <w:rPr>
          <w:iCs/>
        </w:rPr>
        <w:t>duckweed</w:t>
      </w:r>
      <w:proofErr w:type="spellEnd"/>
      <w:r w:rsidRPr="004830E9">
        <w:rPr>
          <w:iCs/>
        </w:rPr>
        <w:t xml:space="preserve"> (</w:t>
      </w:r>
      <w:proofErr w:type="spellStart"/>
      <w:r w:rsidRPr="004830E9">
        <w:rPr>
          <w:i/>
        </w:rPr>
        <w:t>Lemna</w:t>
      </w:r>
      <w:proofErr w:type="spellEnd"/>
      <w:r w:rsidRPr="004830E9">
        <w:rPr>
          <w:i/>
        </w:rPr>
        <w:t xml:space="preserve"> </w:t>
      </w:r>
      <w:proofErr w:type="spellStart"/>
      <w:r w:rsidRPr="004830E9">
        <w:rPr>
          <w:i/>
        </w:rPr>
        <w:t>minor</w:t>
      </w:r>
      <w:proofErr w:type="spellEnd"/>
      <w:r w:rsidRPr="004830E9">
        <w:rPr>
          <w:iCs/>
        </w:rPr>
        <w:t>)</w:t>
      </w:r>
    </w:p>
    <w:p w14:paraId="171CF1CF" w14:textId="77777777" w:rsidR="000E2490" w:rsidRPr="004830E9" w:rsidRDefault="000E2490" w:rsidP="000E2490">
      <w:pPr>
        <w:pStyle w:val="NormalWeb"/>
        <w:spacing w:before="0" w:beforeAutospacing="0" w:after="0" w:afterAutospacing="0" w:line="360" w:lineRule="auto"/>
        <w:rPr>
          <w:color w:val="000000"/>
        </w:rPr>
      </w:pPr>
      <w:proofErr w:type="spellStart"/>
      <w:r w:rsidRPr="00720F22">
        <w:rPr>
          <w:b/>
          <w:bCs/>
          <w:color w:val="000000"/>
        </w:rPr>
        <w:t>Subject</w:t>
      </w:r>
      <w:proofErr w:type="spellEnd"/>
      <w:r w:rsidRPr="00720F22">
        <w:rPr>
          <w:b/>
          <w:bCs/>
          <w:color w:val="000000"/>
        </w:rPr>
        <w:t xml:space="preserve"> </w:t>
      </w:r>
      <w:proofErr w:type="spellStart"/>
      <w:r w:rsidRPr="00720F22">
        <w:rPr>
          <w:b/>
          <w:bCs/>
          <w:color w:val="000000"/>
        </w:rPr>
        <w:t>area</w:t>
      </w:r>
      <w:proofErr w:type="spellEnd"/>
      <w:r w:rsidRPr="00720F22">
        <w:rPr>
          <w:b/>
          <w:bCs/>
          <w:color w:val="000000"/>
        </w:rPr>
        <w:t>:</w:t>
      </w:r>
      <w:r w:rsidRPr="004830E9">
        <w:rPr>
          <w:color w:val="000000"/>
        </w:rPr>
        <w:t xml:space="preserve"> </w:t>
      </w:r>
      <w:proofErr w:type="spellStart"/>
      <w:r w:rsidRPr="004830E9">
        <w:rPr>
          <w:color w:val="000000"/>
        </w:rPr>
        <w:t>Biology</w:t>
      </w:r>
      <w:proofErr w:type="spellEnd"/>
      <w:r w:rsidRPr="004830E9">
        <w:rPr>
          <w:color w:val="000000"/>
        </w:rPr>
        <w:t xml:space="preserve"> (N010)</w:t>
      </w:r>
    </w:p>
    <w:p w14:paraId="4C755EED" w14:textId="77777777" w:rsidR="000E2490" w:rsidRPr="004830E9" w:rsidRDefault="000E2490" w:rsidP="000E2490">
      <w:pPr>
        <w:pStyle w:val="NormalWeb"/>
        <w:spacing w:before="0" w:beforeAutospacing="0" w:after="0" w:afterAutospacing="0" w:line="360" w:lineRule="auto"/>
        <w:rPr>
          <w:color w:val="000000"/>
        </w:rPr>
      </w:pPr>
      <w:proofErr w:type="spellStart"/>
      <w:r w:rsidRPr="00720F22">
        <w:rPr>
          <w:b/>
          <w:bCs/>
          <w:color w:val="000000"/>
        </w:rPr>
        <w:t>Scientific</w:t>
      </w:r>
      <w:proofErr w:type="spellEnd"/>
      <w:r w:rsidRPr="00720F22">
        <w:rPr>
          <w:b/>
          <w:bCs/>
          <w:color w:val="000000"/>
        </w:rPr>
        <w:t xml:space="preserve"> </w:t>
      </w:r>
      <w:proofErr w:type="spellStart"/>
      <w:r w:rsidRPr="00720F22">
        <w:rPr>
          <w:b/>
          <w:bCs/>
          <w:color w:val="000000"/>
        </w:rPr>
        <w:t>supervisor</w:t>
      </w:r>
      <w:proofErr w:type="spellEnd"/>
      <w:r w:rsidRPr="00720F22">
        <w:rPr>
          <w:b/>
          <w:bCs/>
          <w:color w:val="000000"/>
        </w:rPr>
        <w:t>:</w:t>
      </w:r>
      <w:r w:rsidRPr="004830E9">
        <w:rPr>
          <w:color w:val="000000"/>
        </w:rPr>
        <w:t xml:space="preserve"> dr. (HP) Dalius Butkauskas</w:t>
      </w:r>
    </w:p>
    <w:p w14:paraId="4DC783F0" w14:textId="77777777" w:rsidR="000E2490" w:rsidRPr="004830E9" w:rsidRDefault="000E2490" w:rsidP="000E2490">
      <w:pPr>
        <w:pStyle w:val="NormalWeb"/>
        <w:spacing w:before="0" w:beforeAutospacing="0" w:after="0" w:afterAutospacing="0" w:line="360" w:lineRule="auto"/>
        <w:rPr>
          <w:color w:val="000000"/>
        </w:rPr>
      </w:pPr>
      <w:proofErr w:type="spellStart"/>
      <w:r w:rsidRPr="00720F22">
        <w:rPr>
          <w:b/>
          <w:bCs/>
          <w:color w:val="000000"/>
        </w:rPr>
        <w:t>The</w:t>
      </w:r>
      <w:proofErr w:type="spellEnd"/>
      <w:r w:rsidRPr="00720F22">
        <w:rPr>
          <w:b/>
          <w:bCs/>
          <w:color w:val="000000"/>
        </w:rPr>
        <w:t xml:space="preserve"> </w:t>
      </w:r>
      <w:proofErr w:type="spellStart"/>
      <w:r w:rsidRPr="00720F22">
        <w:rPr>
          <w:b/>
          <w:bCs/>
          <w:color w:val="000000"/>
        </w:rPr>
        <w:t>period</w:t>
      </w:r>
      <w:proofErr w:type="spellEnd"/>
      <w:r w:rsidRPr="00720F22">
        <w:rPr>
          <w:b/>
          <w:bCs/>
          <w:color w:val="000000"/>
        </w:rPr>
        <w:t xml:space="preserve"> of </w:t>
      </w:r>
      <w:proofErr w:type="spellStart"/>
      <w:r w:rsidRPr="00720F22">
        <w:rPr>
          <w:b/>
          <w:bCs/>
          <w:color w:val="000000"/>
        </w:rPr>
        <w:t>research</w:t>
      </w:r>
      <w:proofErr w:type="spellEnd"/>
      <w:r w:rsidRPr="00720F22">
        <w:rPr>
          <w:b/>
          <w:bCs/>
          <w:color w:val="000000"/>
        </w:rPr>
        <w:t>:</w:t>
      </w:r>
      <w:r w:rsidRPr="004830E9">
        <w:rPr>
          <w:color w:val="000000"/>
        </w:rPr>
        <w:t xml:space="preserve"> </w:t>
      </w:r>
      <w:r w:rsidRPr="004830E9">
        <w:t>2020 – 2024</w:t>
      </w:r>
    </w:p>
    <w:p w14:paraId="7A1D5FDB" w14:textId="77777777" w:rsidR="000E2490" w:rsidRPr="004830E9" w:rsidRDefault="000E2490" w:rsidP="000E2490">
      <w:pPr>
        <w:pStyle w:val="NormalWeb"/>
        <w:spacing w:before="0" w:beforeAutospacing="0" w:after="0" w:afterAutospacing="0" w:line="360" w:lineRule="auto"/>
        <w:rPr>
          <w:color w:val="000000"/>
        </w:rPr>
      </w:pPr>
      <w:proofErr w:type="spellStart"/>
      <w:r w:rsidRPr="00720F22">
        <w:rPr>
          <w:b/>
          <w:bCs/>
          <w:color w:val="000000"/>
        </w:rPr>
        <w:t>Date</w:t>
      </w:r>
      <w:proofErr w:type="spellEnd"/>
      <w:r w:rsidRPr="00720F22">
        <w:rPr>
          <w:b/>
          <w:bCs/>
          <w:color w:val="000000"/>
        </w:rPr>
        <w:t xml:space="preserve"> of </w:t>
      </w:r>
      <w:proofErr w:type="spellStart"/>
      <w:r w:rsidRPr="00720F22">
        <w:rPr>
          <w:b/>
          <w:bCs/>
          <w:color w:val="000000"/>
        </w:rPr>
        <w:t>defence</w:t>
      </w:r>
      <w:proofErr w:type="spellEnd"/>
      <w:r w:rsidRPr="004830E9">
        <w:rPr>
          <w:color w:val="000000"/>
        </w:rPr>
        <w:t xml:space="preserve">: </w:t>
      </w:r>
      <w:r w:rsidRPr="004830E9">
        <w:t xml:space="preserve">2025 </w:t>
      </w:r>
      <w:proofErr w:type="spellStart"/>
      <w:r w:rsidRPr="004830E9">
        <w:t>February</w:t>
      </w:r>
      <w:proofErr w:type="spellEnd"/>
      <w:r w:rsidRPr="004830E9">
        <w:t xml:space="preserve"> 28</w:t>
      </w:r>
      <w:r w:rsidRPr="004830E9">
        <w:rPr>
          <w:vertAlign w:val="superscript"/>
        </w:rPr>
        <w:t>nd</w:t>
      </w:r>
    </w:p>
    <w:p w14:paraId="53F3544F" w14:textId="77777777" w:rsidR="000E2490" w:rsidRPr="00720F22" w:rsidRDefault="000E2490" w:rsidP="000E2490">
      <w:pPr>
        <w:pStyle w:val="NormalWeb"/>
        <w:spacing w:line="360" w:lineRule="auto"/>
        <w:rPr>
          <w:b/>
          <w:bCs/>
          <w:color w:val="000000"/>
        </w:rPr>
      </w:pPr>
      <w:proofErr w:type="spellStart"/>
      <w:r w:rsidRPr="00720F22">
        <w:rPr>
          <w:b/>
          <w:bCs/>
          <w:color w:val="000000"/>
        </w:rPr>
        <w:t>Summary</w:t>
      </w:r>
      <w:proofErr w:type="spellEnd"/>
      <w:r w:rsidRPr="00720F22">
        <w:rPr>
          <w:b/>
          <w:bCs/>
          <w:color w:val="000000"/>
        </w:rPr>
        <w:t xml:space="preserve"> EN</w:t>
      </w:r>
    </w:p>
    <w:p w14:paraId="38F64F5D" w14:textId="77777777" w:rsidR="000E2490" w:rsidRPr="004830E9" w:rsidRDefault="000E2490" w:rsidP="000E2490">
      <w:pPr>
        <w:spacing w:line="360" w:lineRule="auto"/>
        <w:jc w:val="both"/>
        <w:rPr>
          <w:rFonts w:ascii="Times New Roman" w:hAnsi="Times New Roman" w:cs="Times New Roman"/>
          <w:color w:val="1F1F1F"/>
          <w:sz w:val="24"/>
          <w:szCs w:val="24"/>
          <w:lang w:val="en-US"/>
        </w:rPr>
      </w:pPr>
      <w:r w:rsidRPr="004830E9">
        <w:rPr>
          <w:rFonts w:ascii="Times New Roman" w:hAnsi="Times New Roman" w:cs="Times New Roman"/>
          <w:color w:val="1F1F1F"/>
          <w:sz w:val="24"/>
          <w:szCs w:val="24"/>
          <w:lang w:val="en-US"/>
        </w:rPr>
        <w:t>The common roach (</w:t>
      </w:r>
      <w:r w:rsidRPr="004830E9">
        <w:rPr>
          <w:rFonts w:ascii="Times New Roman" w:hAnsi="Times New Roman" w:cs="Times New Roman"/>
          <w:i/>
          <w:iCs/>
          <w:color w:val="1F1F1F"/>
          <w:sz w:val="24"/>
          <w:szCs w:val="24"/>
          <w:lang w:val="en-US"/>
        </w:rPr>
        <w:t xml:space="preserve">Rutilus </w:t>
      </w:r>
      <w:proofErr w:type="spellStart"/>
      <w:r w:rsidRPr="004830E9">
        <w:rPr>
          <w:rFonts w:ascii="Times New Roman" w:hAnsi="Times New Roman" w:cs="Times New Roman"/>
          <w:i/>
          <w:iCs/>
          <w:color w:val="1F1F1F"/>
          <w:sz w:val="24"/>
          <w:szCs w:val="24"/>
          <w:lang w:val="en-US"/>
        </w:rPr>
        <w:t>rutilus</w:t>
      </w:r>
      <w:proofErr w:type="spellEnd"/>
      <w:r w:rsidRPr="004830E9">
        <w:rPr>
          <w:rFonts w:ascii="Times New Roman" w:hAnsi="Times New Roman" w:cs="Times New Roman"/>
          <w:color w:val="1F1F1F"/>
          <w:sz w:val="24"/>
          <w:szCs w:val="24"/>
          <w:lang w:val="en-US"/>
        </w:rPr>
        <w:t xml:space="preserve">, Linnaeus 1758) is a widespread fish belonging to the </w:t>
      </w:r>
      <w:proofErr w:type="spellStart"/>
      <w:r w:rsidRPr="004830E9">
        <w:rPr>
          <w:rFonts w:ascii="Times New Roman" w:hAnsi="Times New Roman" w:cs="Times New Roman"/>
          <w:i/>
          <w:iCs/>
          <w:color w:val="1F1F1F"/>
          <w:sz w:val="24"/>
          <w:szCs w:val="24"/>
          <w:lang w:val="en-US"/>
        </w:rPr>
        <w:t>Cyprinidae</w:t>
      </w:r>
      <w:proofErr w:type="spellEnd"/>
      <w:r w:rsidRPr="004830E9">
        <w:rPr>
          <w:rFonts w:ascii="Times New Roman" w:hAnsi="Times New Roman" w:cs="Times New Roman"/>
          <w:color w:val="1F1F1F"/>
          <w:sz w:val="24"/>
          <w:szCs w:val="24"/>
          <w:lang w:val="en-US"/>
        </w:rPr>
        <w:t xml:space="preserve"> family, capable of adapting to various types of water bodies, therefore fish populations are found in various freshwater bodies in Europe and most of the Asian continent. The duckweed (</w:t>
      </w:r>
      <w:r w:rsidRPr="004830E9">
        <w:rPr>
          <w:rFonts w:ascii="Times New Roman" w:hAnsi="Times New Roman" w:cs="Times New Roman"/>
          <w:i/>
          <w:iCs/>
          <w:color w:val="1F1F1F"/>
          <w:sz w:val="24"/>
          <w:szCs w:val="24"/>
          <w:lang w:val="en-US"/>
        </w:rPr>
        <w:t>Lemna minor</w:t>
      </w:r>
      <w:r w:rsidRPr="004830E9">
        <w:rPr>
          <w:rFonts w:ascii="Times New Roman" w:hAnsi="Times New Roman" w:cs="Times New Roman"/>
          <w:color w:val="1F1F1F"/>
          <w:sz w:val="24"/>
          <w:szCs w:val="24"/>
          <w:lang w:val="en-US"/>
        </w:rPr>
        <w:t>) is one of the most widespread species of free-floating plants in Lithuania and throughout the world, and usually reproduces vegetatively by budding, forming genetically identical clones. Using the sequences of the mitochondrial DNA (</w:t>
      </w:r>
      <w:proofErr w:type="spellStart"/>
      <w:r w:rsidRPr="004830E9">
        <w:rPr>
          <w:rFonts w:ascii="Times New Roman" w:hAnsi="Times New Roman" w:cs="Times New Roman"/>
          <w:color w:val="1F1F1F"/>
          <w:sz w:val="24"/>
          <w:szCs w:val="24"/>
          <w:lang w:val="en-US"/>
        </w:rPr>
        <w:t>mtDNA</w:t>
      </w:r>
      <w:proofErr w:type="spellEnd"/>
      <w:r w:rsidRPr="004830E9">
        <w:rPr>
          <w:rFonts w:ascii="Times New Roman" w:hAnsi="Times New Roman" w:cs="Times New Roman"/>
          <w:color w:val="1F1F1F"/>
          <w:sz w:val="24"/>
          <w:szCs w:val="24"/>
          <w:lang w:val="en-US"/>
        </w:rPr>
        <w:t>) adenosine triphosphate 6 (ATP6) gene and the D-loop region of the common roach, as well as the nuclear ascorbate peroxidase (</w:t>
      </w:r>
      <w:proofErr w:type="spellStart"/>
      <w:r w:rsidRPr="004830E9">
        <w:rPr>
          <w:rFonts w:ascii="Times New Roman" w:hAnsi="Times New Roman" w:cs="Times New Roman"/>
          <w:color w:val="1F1F1F"/>
          <w:sz w:val="24"/>
          <w:szCs w:val="24"/>
          <w:lang w:val="en-US"/>
        </w:rPr>
        <w:t>APx</w:t>
      </w:r>
      <w:proofErr w:type="spellEnd"/>
      <w:r w:rsidRPr="004830E9">
        <w:rPr>
          <w:rFonts w:ascii="Times New Roman" w:hAnsi="Times New Roman" w:cs="Times New Roman"/>
          <w:color w:val="1F1F1F"/>
          <w:sz w:val="24"/>
          <w:szCs w:val="24"/>
          <w:lang w:val="en-US"/>
        </w:rPr>
        <w:t xml:space="preserve">) and chloroplast microsatellite markers of duckweed, population studies were conducted in the Lithuanian and Latvian regions. The impact of anthropogenic factors such as thermal pollution or electromagnetic radiation and environmental conditions on the genetic variability of the populations of the common roach and duckweed was also assessed. The high genetic similarity between geographically distant roach populations revealed specific relationships depending on different characteristics. Also, high genetic similarity was found between geographically distant clones of small floating plants collected in stagnant water bodies. Comparing roach samples collected in 2017 and 2022 in the former </w:t>
      </w:r>
      <w:proofErr w:type="spellStart"/>
      <w:r w:rsidRPr="004830E9">
        <w:rPr>
          <w:rFonts w:ascii="Times New Roman" w:hAnsi="Times New Roman" w:cs="Times New Roman"/>
          <w:color w:val="1F1F1F"/>
          <w:sz w:val="24"/>
          <w:szCs w:val="24"/>
          <w:lang w:val="en-US"/>
        </w:rPr>
        <w:t>Ignalina</w:t>
      </w:r>
      <w:proofErr w:type="spellEnd"/>
      <w:r w:rsidRPr="004830E9">
        <w:rPr>
          <w:rFonts w:ascii="Times New Roman" w:hAnsi="Times New Roman" w:cs="Times New Roman"/>
          <w:color w:val="1F1F1F"/>
          <w:sz w:val="24"/>
          <w:szCs w:val="24"/>
          <w:lang w:val="en-US"/>
        </w:rPr>
        <w:t xml:space="preserve"> NPP cooler - Lake </w:t>
      </w:r>
      <w:proofErr w:type="spellStart"/>
      <w:r w:rsidRPr="004830E9">
        <w:rPr>
          <w:rFonts w:ascii="Times New Roman" w:hAnsi="Times New Roman" w:cs="Times New Roman"/>
          <w:color w:val="1F1F1F"/>
          <w:sz w:val="24"/>
          <w:szCs w:val="24"/>
          <w:lang w:val="en-US"/>
        </w:rPr>
        <w:t>Drūkšiai</w:t>
      </w:r>
      <w:proofErr w:type="spellEnd"/>
      <w:r w:rsidRPr="004830E9">
        <w:rPr>
          <w:rFonts w:ascii="Times New Roman" w:hAnsi="Times New Roman" w:cs="Times New Roman"/>
          <w:color w:val="1F1F1F"/>
          <w:sz w:val="24"/>
          <w:szCs w:val="24"/>
          <w:lang w:val="en-US"/>
        </w:rPr>
        <w:t xml:space="preserve">, using molecular markers of the </w:t>
      </w:r>
      <w:proofErr w:type="spellStart"/>
      <w:r w:rsidRPr="004830E9">
        <w:rPr>
          <w:rFonts w:ascii="Times New Roman" w:hAnsi="Times New Roman" w:cs="Times New Roman"/>
          <w:color w:val="1F1F1F"/>
          <w:sz w:val="24"/>
          <w:szCs w:val="24"/>
          <w:lang w:val="en-US"/>
        </w:rPr>
        <w:t>mtDNA</w:t>
      </w:r>
      <w:proofErr w:type="spellEnd"/>
      <w:r w:rsidRPr="004830E9">
        <w:rPr>
          <w:rFonts w:ascii="Times New Roman" w:hAnsi="Times New Roman" w:cs="Times New Roman"/>
          <w:color w:val="1F1F1F"/>
          <w:sz w:val="24"/>
          <w:szCs w:val="24"/>
          <w:lang w:val="en-US"/>
        </w:rPr>
        <w:t xml:space="preserve"> ATP6 gene and D-loop region sequences, a significant decrease in genetic diversity was found in the roach population of this lake. Exposure of duckweed clones grown inside a Helmholtz coil to low-frequency (50 Hz) electromagnetic radiation, when the electromagnetic field density reaches 2 µT (0-11 weeks) and 300 µT (12-48 weeks), initiates changes in genetic variability in the sequences of the (ascorbate peroxidase) </w:t>
      </w:r>
      <w:proofErr w:type="spellStart"/>
      <w:r w:rsidRPr="004830E9">
        <w:rPr>
          <w:rFonts w:ascii="Times New Roman" w:hAnsi="Times New Roman" w:cs="Times New Roman"/>
          <w:color w:val="1F1F1F"/>
          <w:sz w:val="24"/>
          <w:szCs w:val="24"/>
          <w:lang w:val="en-US"/>
        </w:rPr>
        <w:t>APx</w:t>
      </w:r>
      <w:proofErr w:type="spellEnd"/>
      <w:r w:rsidRPr="004830E9">
        <w:rPr>
          <w:rFonts w:ascii="Times New Roman" w:hAnsi="Times New Roman" w:cs="Times New Roman"/>
          <w:color w:val="1F1F1F"/>
          <w:sz w:val="24"/>
          <w:szCs w:val="24"/>
          <w:lang w:val="en-US"/>
        </w:rPr>
        <w:t xml:space="preserve">, (glutathione peroxidase) </w:t>
      </w:r>
      <w:proofErr w:type="spellStart"/>
      <w:r w:rsidRPr="004830E9">
        <w:rPr>
          <w:rFonts w:ascii="Times New Roman" w:hAnsi="Times New Roman" w:cs="Times New Roman"/>
          <w:color w:val="1F1F1F"/>
          <w:sz w:val="24"/>
          <w:szCs w:val="24"/>
          <w:lang w:val="en-US"/>
        </w:rPr>
        <w:t>GPx</w:t>
      </w:r>
      <w:proofErr w:type="spellEnd"/>
      <w:r w:rsidRPr="004830E9">
        <w:rPr>
          <w:rFonts w:ascii="Times New Roman" w:hAnsi="Times New Roman" w:cs="Times New Roman"/>
          <w:color w:val="1F1F1F"/>
          <w:sz w:val="24"/>
          <w:szCs w:val="24"/>
          <w:lang w:val="en-US"/>
        </w:rPr>
        <w:t xml:space="preserve"> and (catalase) Cat genes due to an increasing number of point mutations mainly in the promoter and intron regions.</w:t>
      </w:r>
    </w:p>
    <w:p w14:paraId="5C4F7581" w14:textId="77777777" w:rsidR="000E2490" w:rsidRPr="00720F22" w:rsidRDefault="000E2490" w:rsidP="000E2490">
      <w:pPr>
        <w:pStyle w:val="NormalWeb"/>
        <w:spacing w:line="360" w:lineRule="auto"/>
        <w:rPr>
          <w:b/>
          <w:bCs/>
          <w:color w:val="000000"/>
        </w:rPr>
      </w:pPr>
      <w:r w:rsidRPr="00720F22">
        <w:rPr>
          <w:b/>
          <w:bCs/>
          <w:color w:val="000000"/>
        </w:rPr>
        <w:lastRenderedPageBreak/>
        <w:t>LIST OF PUBLICATIONS OF THE DISSERTATION TOPIC</w:t>
      </w:r>
    </w:p>
    <w:p w14:paraId="6F5BC415" w14:textId="77777777" w:rsidR="000E2490" w:rsidRPr="00720F22" w:rsidRDefault="000E2490" w:rsidP="000E2490">
      <w:pPr>
        <w:pStyle w:val="ListParagraph"/>
        <w:numPr>
          <w:ilvl w:val="0"/>
          <w:numId w:val="4"/>
        </w:numPr>
        <w:autoSpaceDE w:val="0"/>
        <w:autoSpaceDN w:val="0"/>
        <w:adjustRightInd w:val="0"/>
        <w:spacing w:before="240" w:after="200" w:line="360" w:lineRule="auto"/>
        <w:jc w:val="both"/>
        <w:rPr>
          <w:rFonts w:ascii="Times New Roman" w:hAnsi="Times New Roman" w:cs="Times New Roman"/>
          <w:sz w:val="24"/>
          <w:szCs w:val="24"/>
        </w:rPr>
      </w:pPr>
      <w:r w:rsidRPr="00720F22">
        <w:rPr>
          <w:rFonts w:ascii="Times New Roman" w:hAnsi="Times New Roman" w:cs="Times New Roman"/>
          <w:b/>
          <w:bCs/>
          <w:sz w:val="24"/>
          <w:szCs w:val="24"/>
        </w:rPr>
        <w:t>Ignatavičienė I.,</w:t>
      </w:r>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Vyšniauskienė</w:t>
      </w:r>
      <w:proofErr w:type="spellEnd"/>
      <w:r w:rsidRPr="00720F22">
        <w:rPr>
          <w:rFonts w:ascii="Times New Roman" w:hAnsi="Times New Roman" w:cs="Times New Roman"/>
          <w:sz w:val="24"/>
          <w:szCs w:val="24"/>
        </w:rPr>
        <w:t xml:space="preserve"> R., </w:t>
      </w:r>
      <w:proofErr w:type="spellStart"/>
      <w:r w:rsidRPr="00720F22">
        <w:rPr>
          <w:rFonts w:ascii="Times New Roman" w:hAnsi="Times New Roman" w:cs="Times New Roman"/>
          <w:sz w:val="24"/>
          <w:szCs w:val="24"/>
        </w:rPr>
        <w:t>Rančelienė</w:t>
      </w:r>
      <w:proofErr w:type="spellEnd"/>
      <w:r w:rsidRPr="00720F22">
        <w:rPr>
          <w:rFonts w:ascii="Times New Roman" w:hAnsi="Times New Roman" w:cs="Times New Roman"/>
          <w:sz w:val="24"/>
          <w:szCs w:val="24"/>
        </w:rPr>
        <w:t xml:space="preserve"> V., Petrošius R., </w:t>
      </w:r>
      <w:proofErr w:type="spellStart"/>
      <w:r w:rsidRPr="00720F22">
        <w:rPr>
          <w:rFonts w:ascii="Times New Roman" w:hAnsi="Times New Roman" w:cs="Times New Roman"/>
          <w:sz w:val="24"/>
          <w:szCs w:val="24"/>
        </w:rPr>
        <w:t>Grauda</w:t>
      </w:r>
      <w:proofErr w:type="spellEnd"/>
      <w:r w:rsidRPr="00720F22">
        <w:rPr>
          <w:rFonts w:ascii="Times New Roman" w:hAnsi="Times New Roman" w:cs="Times New Roman"/>
          <w:sz w:val="24"/>
          <w:szCs w:val="24"/>
        </w:rPr>
        <w:t xml:space="preserve"> D., Butkauskas D.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effects</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electromagnetic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field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radiation</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extremely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low</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frequency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on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growth</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parameters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nucleotide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substitutions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Lemna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minor</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clones</w:t>
      </w:r>
      <w:proofErr w:type="spellEnd"/>
      <w:r w:rsidRPr="00720F22">
        <w:rPr>
          <w:rFonts w:ascii="Times New Roman" w:hAnsi="Times New Roman" w:cs="Times New Roman"/>
          <w:sz w:val="24"/>
          <w:szCs w:val="24"/>
        </w:rPr>
        <w:t xml:space="preserve">. </w:t>
      </w:r>
      <w:bookmarkStart w:id="0" w:name="_Hlk180668931"/>
      <w:proofErr w:type="spellStart"/>
      <w:r w:rsidRPr="00720F22">
        <w:rPr>
          <w:rFonts w:ascii="Times New Roman" w:hAnsi="Times New Roman" w:cs="Times New Roman"/>
          <w:sz w:val="24"/>
          <w:szCs w:val="24"/>
        </w:rPr>
        <w:t>Acta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Physiologiae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Plantarum</w:t>
      </w:r>
      <w:bookmarkEnd w:id="0"/>
      <w:proofErr w:type="spellEnd"/>
      <w:r w:rsidRPr="00720F22">
        <w:rPr>
          <w:rFonts w:ascii="Times New Roman" w:hAnsi="Times New Roman" w:cs="Times New Roman"/>
          <w:sz w:val="24"/>
          <w:szCs w:val="24"/>
        </w:rPr>
        <w:t>, (2024), https://doi.org/10.1007/s11738-024-03675-3</w:t>
      </w:r>
    </w:p>
    <w:p w14:paraId="2E7E3AE3" w14:textId="77777777" w:rsidR="000E2490" w:rsidRPr="00720F22" w:rsidRDefault="000E2490" w:rsidP="000E2490">
      <w:pPr>
        <w:pStyle w:val="ListParagraph"/>
        <w:numPr>
          <w:ilvl w:val="0"/>
          <w:numId w:val="4"/>
        </w:numPr>
        <w:autoSpaceDE w:val="0"/>
        <w:autoSpaceDN w:val="0"/>
        <w:adjustRightInd w:val="0"/>
        <w:spacing w:before="240" w:after="200" w:line="360" w:lineRule="auto"/>
        <w:jc w:val="both"/>
        <w:rPr>
          <w:rFonts w:ascii="Times New Roman" w:hAnsi="Times New Roman" w:cs="Times New Roman"/>
          <w:sz w:val="24"/>
          <w:szCs w:val="24"/>
        </w:rPr>
      </w:pPr>
      <w:r w:rsidRPr="00720F22">
        <w:rPr>
          <w:rFonts w:ascii="Times New Roman" w:hAnsi="Times New Roman" w:cs="Times New Roman"/>
          <w:b/>
          <w:bCs/>
          <w:sz w:val="24"/>
          <w:szCs w:val="24"/>
        </w:rPr>
        <w:t>Ignatavičienė I.,</w:t>
      </w:r>
      <w:r w:rsidRPr="00720F22">
        <w:rPr>
          <w:rFonts w:ascii="Times New Roman" w:hAnsi="Times New Roman" w:cs="Times New Roman"/>
          <w:sz w:val="24"/>
          <w:szCs w:val="24"/>
        </w:rPr>
        <w:t xml:space="preserve"> Ragauskas A., Rakauskas V., Butkauskas D. </w:t>
      </w:r>
      <w:proofErr w:type="spellStart"/>
      <w:r w:rsidRPr="00720F22">
        <w:rPr>
          <w:rFonts w:ascii="Times New Roman" w:hAnsi="Times New Roman" w:cs="Times New Roman"/>
          <w:sz w:val="24"/>
          <w:szCs w:val="24"/>
        </w:rPr>
        <w:t>Quality</w:t>
      </w:r>
      <w:proofErr w:type="spellEnd"/>
      <w:r w:rsidRPr="00720F22">
        <w:rPr>
          <w:rFonts w:ascii="Times New Roman" w:hAnsi="Times New Roman" w:cs="Times New Roman"/>
          <w:sz w:val="24"/>
          <w:szCs w:val="24"/>
        </w:rPr>
        <w:t xml:space="preserve"> of DNA </w:t>
      </w:r>
      <w:proofErr w:type="spellStart"/>
      <w:r w:rsidRPr="00720F22">
        <w:rPr>
          <w:rFonts w:ascii="Times New Roman" w:hAnsi="Times New Roman" w:cs="Times New Roman"/>
          <w:sz w:val="24"/>
          <w:szCs w:val="24"/>
        </w:rPr>
        <w:t>extracted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from</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freshwater</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fish</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scales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mucus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its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application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genetic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diversity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studies</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Perca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fluviatilis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Rutilus </w:t>
      </w:r>
      <w:proofErr w:type="spellStart"/>
      <w:r w:rsidRPr="00720F22">
        <w:rPr>
          <w:rFonts w:ascii="Times New Roman" w:hAnsi="Times New Roman" w:cs="Times New Roman"/>
          <w:sz w:val="24"/>
          <w:szCs w:val="24"/>
        </w:rPr>
        <w:t>rutilus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Biology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Methods</w:t>
      </w:r>
      <w:proofErr w:type="spellEnd"/>
      <w:r w:rsidRPr="00720F22">
        <w:rPr>
          <w:rFonts w:ascii="Times New Roman" w:hAnsi="Times New Roman" w:cs="Times New Roman"/>
          <w:sz w:val="24"/>
          <w:szCs w:val="24"/>
        </w:rPr>
        <w:t xml:space="preserve"> &amp; </w:t>
      </w:r>
      <w:proofErr w:type="spellStart"/>
      <w:r w:rsidRPr="00720F22">
        <w:rPr>
          <w:rFonts w:ascii="Times New Roman" w:hAnsi="Times New Roman" w:cs="Times New Roman"/>
          <w:sz w:val="24"/>
          <w:szCs w:val="24"/>
        </w:rPr>
        <w:t>Protocols</w:t>
      </w:r>
      <w:proofErr w:type="spellEnd"/>
      <w:r w:rsidRPr="00720F22">
        <w:rPr>
          <w:rFonts w:ascii="Times New Roman" w:hAnsi="Times New Roman" w:cs="Times New Roman"/>
          <w:sz w:val="24"/>
          <w:szCs w:val="24"/>
        </w:rPr>
        <w:t xml:space="preserve">, 8(1), (2023). https://doi.org/10.1093/biomethods/bpad022 </w:t>
      </w:r>
    </w:p>
    <w:p w14:paraId="3BA5E79D" w14:textId="77777777" w:rsidR="000E2490" w:rsidRPr="00720F22" w:rsidRDefault="000E2490" w:rsidP="000E2490">
      <w:pPr>
        <w:pStyle w:val="ListParagraph"/>
        <w:numPr>
          <w:ilvl w:val="0"/>
          <w:numId w:val="4"/>
        </w:numPr>
        <w:autoSpaceDE w:val="0"/>
        <w:autoSpaceDN w:val="0"/>
        <w:adjustRightInd w:val="0"/>
        <w:spacing w:before="240" w:after="200" w:line="360" w:lineRule="auto"/>
        <w:jc w:val="both"/>
        <w:rPr>
          <w:rFonts w:ascii="Times New Roman" w:hAnsi="Times New Roman" w:cs="Times New Roman"/>
          <w:sz w:val="24"/>
          <w:szCs w:val="24"/>
        </w:rPr>
      </w:pPr>
      <w:r w:rsidRPr="00720F22">
        <w:rPr>
          <w:rFonts w:ascii="Times New Roman" w:hAnsi="Times New Roman" w:cs="Times New Roman"/>
          <w:sz w:val="24"/>
          <w:szCs w:val="24"/>
        </w:rPr>
        <w:t xml:space="preserve">Butkauskas D. </w:t>
      </w:r>
      <w:r w:rsidRPr="00720F22">
        <w:rPr>
          <w:rFonts w:ascii="Times New Roman" w:hAnsi="Times New Roman" w:cs="Times New Roman"/>
          <w:b/>
          <w:bCs/>
          <w:sz w:val="24"/>
          <w:szCs w:val="24"/>
        </w:rPr>
        <w:t>Ignatavičienė I.,</w:t>
      </w:r>
      <w:r w:rsidRPr="00720F22">
        <w:rPr>
          <w:rFonts w:ascii="Times New Roman" w:hAnsi="Times New Roman" w:cs="Times New Roman"/>
          <w:sz w:val="24"/>
          <w:szCs w:val="24"/>
        </w:rPr>
        <w:t xml:space="preserve"> Ragauskas A., Rakauskas V. </w:t>
      </w:r>
      <w:proofErr w:type="spellStart"/>
      <w:r w:rsidRPr="00720F22">
        <w:rPr>
          <w:rFonts w:ascii="Times New Roman" w:hAnsi="Times New Roman" w:cs="Times New Roman"/>
          <w:sz w:val="24"/>
          <w:szCs w:val="24"/>
        </w:rPr>
        <w:t>Temporal</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Variation</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Genetic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Diversity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w:t>
      </w:r>
      <w:proofErr w:type="spellEnd"/>
      <w:r w:rsidRPr="00720F22">
        <w:rPr>
          <w:rFonts w:ascii="Times New Roman" w:hAnsi="Times New Roman" w:cs="Times New Roman"/>
          <w:sz w:val="24"/>
          <w:szCs w:val="24"/>
        </w:rPr>
        <w:t xml:space="preserve"> Rutilus </w:t>
      </w:r>
      <w:proofErr w:type="spellStart"/>
      <w:r w:rsidRPr="00720F22">
        <w:rPr>
          <w:rFonts w:ascii="Times New Roman" w:hAnsi="Times New Roman" w:cs="Times New Roman"/>
          <w:sz w:val="24"/>
          <w:szCs w:val="24"/>
        </w:rPr>
        <w:t>rutilus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Populations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from</w:t>
      </w:r>
      <w:proofErr w:type="spellEnd"/>
      <w:r w:rsidRPr="00720F22">
        <w:rPr>
          <w:rFonts w:ascii="Times New Roman" w:hAnsi="Times New Roman" w:cs="Times New Roman"/>
          <w:sz w:val="24"/>
          <w:szCs w:val="24"/>
        </w:rPr>
        <w:t xml:space="preserve"> Lithuania </w:t>
      </w:r>
      <w:proofErr w:type="spellStart"/>
      <w:r w:rsidRPr="00720F22">
        <w:rPr>
          <w:rFonts w:ascii="Times New Roman" w:hAnsi="Times New Roman" w:cs="Times New Roman"/>
          <w:sz w:val="24"/>
          <w:szCs w:val="24"/>
        </w:rPr>
        <w:t>Using</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mtDNA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Markers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Context</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Anthropogenic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Activities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Diversity</w:t>
      </w:r>
      <w:proofErr w:type="spellEnd"/>
      <w:r w:rsidRPr="00720F22">
        <w:rPr>
          <w:rFonts w:ascii="Times New Roman" w:hAnsi="Times New Roman" w:cs="Times New Roman"/>
          <w:sz w:val="24"/>
          <w:szCs w:val="24"/>
        </w:rPr>
        <w:t>, 15(11), (2023) https://doi.org/10.3390/d15111113</w:t>
      </w:r>
    </w:p>
    <w:p w14:paraId="66B34102" w14:textId="77777777" w:rsidR="000E2490" w:rsidRPr="00720F22" w:rsidRDefault="000E2490" w:rsidP="000E2490">
      <w:pPr>
        <w:pStyle w:val="ListParagraph"/>
        <w:numPr>
          <w:ilvl w:val="0"/>
          <w:numId w:val="4"/>
        </w:numPr>
        <w:autoSpaceDE w:val="0"/>
        <w:autoSpaceDN w:val="0"/>
        <w:adjustRightInd w:val="0"/>
        <w:spacing w:before="240" w:after="200" w:line="360" w:lineRule="auto"/>
        <w:jc w:val="both"/>
        <w:rPr>
          <w:rFonts w:ascii="Times New Roman" w:hAnsi="Times New Roman" w:cs="Times New Roman"/>
          <w:sz w:val="24"/>
          <w:szCs w:val="24"/>
        </w:rPr>
      </w:pPr>
      <w:r w:rsidRPr="00720F22">
        <w:rPr>
          <w:rFonts w:ascii="Times New Roman" w:hAnsi="Times New Roman" w:cs="Times New Roman"/>
          <w:sz w:val="24"/>
          <w:szCs w:val="24"/>
        </w:rPr>
        <w:t xml:space="preserve">Ragauskas A., </w:t>
      </w:r>
      <w:r w:rsidRPr="00720F22">
        <w:rPr>
          <w:rFonts w:ascii="Times New Roman" w:hAnsi="Times New Roman" w:cs="Times New Roman"/>
          <w:b/>
          <w:bCs/>
          <w:sz w:val="24"/>
          <w:szCs w:val="24"/>
        </w:rPr>
        <w:t>Ignatavičienė I.,</w:t>
      </w:r>
      <w:r w:rsidRPr="00720F22">
        <w:rPr>
          <w:rFonts w:ascii="Times New Roman" w:hAnsi="Times New Roman" w:cs="Times New Roman"/>
          <w:sz w:val="24"/>
          <w:szCs w:val="24"/>
        </w:rPr>
        <w:t xml:space="preserve"> Rakauskas V., </w:t>
      </w:r>
      <w:proofErr w:type="spellStart"/>
      <w:r w:rsidRPr="00720F22">
        <w:rPr>
          <w:rFonts w:ascii="Times New Roman" w:hAnsi="Times New Roman" w:cs="Times New Roman"/>
          <w:sz w:val="24"/>
          <w:szCs w:val="24"/>
        </w:rPr>
        <w:t>Grauda</w:t>
      </w:r>
      <w:proofErr w:type="spellEnd"/>
      <w:r w:rsidRPr="00720F22">
        <w:rPr>
          <w:rFonts w:ascii="Times New Roman" w:hAnsi="Times New Roman" w:cs="Times New Roman"/>
          <w:sz w:val="24"/>
          <w:szCs w:val="24"/>
        </w:rPr>
        <w:t xml:space="preserve"> D., Prakas P., Butkauskas D. </w:t>
      </w:r>
      <w:proofErr w:type="spellStart"/>
      <w:r w:rsidRPr="00720F22">
        <w:rPr>
          <w:rFonts w:ascii="Times New Roman" w:hAnsi="Times New Roman" w:cs="Times New Roman"/>
          <w:sz w:val="24"/>
          <w:szCs w:val="24"/>
        </w:rPr>
        <w:t>Trends</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Eurasian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Perch</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Perca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fluviatilis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mtDNA</w:t>
      </w:r>
      <w:proofErr w:type="spellEnd"/>
      <w:r w:rsidRPr="00720F22">
        <w:rPr>
          <w:rFonts w:ascii="Times New Roman" w:hAnsi="Times New Roman" w:cs="Times New Roman"/>
          <w:sz w:val="24"/>
          <w:szCs w:val="24"/>
        </w:rPr>
        <w:t xml:space="preserve"> ATP6 </w:t>
      </w:r>
      <w:proofErr w:type="spellStart"/>
      <w:r w:rsidRPr="00720F22">
        <w:rPr>
          <w:rFonts w:ascii="Times New Roman" w:hAnsi="Times New Roman" w:cs="Times New Roman"/>
          <w:sz w:val="24"/>
          <w:szCs w:val="24"/>
        </w:rPr>
        <w:t>Genetic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Diversity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within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Eastern </w:t>
      </w:r>
      <w:proofErr w:type="spellStart"/>
      <w:r w:rsidRPr="00720F22">
        <w:rPr>
          <w:rFonts w:ascii="Times New Roman" w:hAnsi="Times New Roman" w:cs="Times New Roman"/>
          <w:sz w:val="24"/>
          <w:szCs w:val="24"/>
        </w:rPr>
        <w:t>Part</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Baltic </w:t>
      </w:r>
      <w:proofErr w:type="spellStart"/>
      <w:r w:rsidRPr="00720F22">
        <w:rPr>
          <w:rFonts w:ascii="Times New Roman" w:hAnsi="Times New Roman" w:cs="Times New Roman"/>
          <w:sz w:val="24"/>
          <w:szCs w:val="24"/>
        </w:rPr>
        <w:t>Sea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Region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Anthropocene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Animals</w:t>
      </w:r>
      <w:proofErr w:type="spellEnd"/>
      <w:r w:rsidRPr="00720F22">
        <w:rPr>
          <w:rFonts w:ascii="Times New Roman" w:hAnsi="Times New Roman" w:cs="Times New Roman"/>
          <w:sz w:val="24"/>
          <w:szCs w:val="24"/>
        </w:rPr>
        <w:t xml:space="preserve">, 13(19), (2023). https://doi.org/10.3390/ani13193057 </w:t>
      </w:r>
    </w:p>
    <w:p w14:paraId="05D1D4CE" w14:textId="77777777" w:rsidR="000E2490" w:rsidRPr="00720F22" w:rsidRDefault="000E2490" w:rsidP="000E2490">
      <w:pPr>
        <w:pStyle w:val="ListParagraph"/>
        <w:numPr>
          <w:ilvl w:val="0"/>
          <w:numId w:val="4"/>
        </w:numPr>
        <w:autoSpaceDE w:val="0"/>
        <w:autoSpaceDN w:val="0"/>
        <w:adjustRightInd w:val="0"/>
        <w:spacing w:before="240" w:after="200" w:line="360" w:lineRule="auto"/>
        <w:jc w:val="both"/>
        <w:rPr>
          <w:rFonts w:ascii="Times New Roman" w:hAnsi="Times New Roman" w:cs="Times New Roman"/>
          <w:color w:val="000000"/>
          <w:sz w:val="24"/>
          <w:szCs w:val="24"/>
        </w:rPr>
      </w:pPr>
      <w:r w:rsidRPr="00720F22">
        <w:rPr>
          <w:rFonts w:ascii="Times New Roman" w:hAnsi="Times New Roman" w:cs="Times New Roman"/>
          <w:b/>
          <w:bCs/>
          <w:sz w:val="24"/>
          <w:szCs w:val="24"/>
        </w:rPr>
        <w:t>Ignatavičienė I.,</w:t>
      </w:r>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Vyšniauskienė</w:t>
      </w:r>
      <w:proofErr w:type="spellEnd"/>
      <w:r w:rsidRPr="00720F22">
        <w:rPr>
          <w:rFonts w:ascii="Times New Roman" w:hAnsi="Times New Roman" w:cs="Times New Roman"/>
          <w:sz w:val="24"/>
          <w:szCs w:val="24"/>
        </w:rPr>
        <w:t xml:space="preserve">, R., </w:t>
      </w:r>
      <w:proofErr w:type="spellStart"/>
      <w:r w:rsidRPr="00720F22">
        <w:rPr>
          <w:rFonts w:ascii="Times New Roman" w:hAnsi="Times New Roman" w:cs="Times New Roman"/>
          <w:sz w:val="24"/>
          <w:szCs w:val="24"/>
        </w:rPr>
        <w:t>Rančelienė</w:t>
      </w:r>
      <w:proofErr w:type="spellEnd"/>
      <w:r w:rsidRPr="00720F22">
        <w:rPr>
          <w:rFonts w:ascii="Times New Roman" w:hAnsi="Times New Roman" w:cs="Times New Roman"/>
          <w:sz w:val="24"/>
          <w:szCs w:val="24"/>
        </w:rPr>
        <w:t xml:space="preserve"> V., Petrošius R., </w:t>
      </w:r>
      <w:proofErr w:type="spellStart"/>
      <w:r w:rsidRPr="00720F22">
        <w:rPr>
          <w:rFonts w:ascii="Times New Roman" w:hAnsi="Times New Roman" w:cs="Times New Roman"/>
          <w:sz w:val="24"/>
          <w:szCs w:val="24"/>
        </w:rPr>
        <w:t>Grauda</w:t>
      </w:r>
      <w:proofErr w:type="spellEnd"/>
      <w:r w:rsidRPr="00720F22">
        <w:rPr>
          <w:rFonts w:ascii="Times New Roman" w:hAnsi="Times New Roman" w:cs="Times New Roman"/>
          <w:sz w:val="24"/>
          <w:szCs w:val="24"/>
        </w:rPr>
        <w:t xml:space="preserve"> D., Butkauskas D. </w:t>
      </w:r>
      <w:proofErr w:type="spellStart"/>
      <w:r w:rsidRPr="00720F22">
        <w:rPr>
          <w:rFonts w:ascii="Times New Roman" w:hAnsi="Times New Roman" w:cs="Times New Roman"/>
          <w:sz w:val="24"/>
          <w:szCs w:val="24"/>
        </w:rPr>
        <w:t>Effects</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Low</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Frequency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Electromagnetic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Radiation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on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Lemna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minor</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growth</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parameters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generation</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point</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mutations</w:t>
      </w:r>
      <w:proofErr w:type="spellEnd"/>
      <w:r w:rsidRPr="00720F22">
        <w:rPr>
          <w:rFonts w:ascii="Times New Roman" w:hAnsi="Times New Roman" w:cs="Times New Roman"/>
          <w:sz w:val="24"/>
          <w:szCs w:val="24"/>
        </w:rPr>
        <w:t xml:space="preserve"> at </w:t>
      </w:r>
      <w:proofErr w:type="spellStart"/>
      <w:r w:rsidRPr="00720F22">
        <w:rPr>
          <w:rFonts w:ascii="Times New Roman" w:hAnsi="Times New Roman" w:cs="Times New Roman"/>
          <w:sz w:val="24"/>
          <w:szCs w:val="24"/>
        </w:rPr>
        <w:t>GPx</w:t>
      </w:r>
      <w:proofErr w:type="spellEnd"/>
      <w:r w:rsidRPr="00720F22">
        <w:rPr>
          <w:rFonts w:ascii="Times New Roman" w:hAnsi="Times New Roman" w:cs="Times New Roman"/>
          <w:sz w:val="24"/>
          <w:szCs w:val="24"/>
        </w:rPr>
        <w:t xml:space="preserve">, CAT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APx</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genes</w:t>
      </w:r>
      <w:proofErr w:type="spellEnd"/>
      <w:r w:rsidRPr="00720F22">
        <w:rPr>
          <w:rFonts w:ascii="Times New Roman" w:hAnsi="Times New Roman" w:cs="Times New Roman"/>
          <w:sz w:val="24"/>
          <w:szCs w:val="24"/>
        </w:rPr>
        <w:t xml:space="preserve">. 180th International </w:t>
      </w:r>
      <w:proofErr w:type="spellStart"/>
      <w:r w:rsidRPr="00720F22">
        <w:rPr>
          <w:rFonts w:ascii="Times New Roman" w:hAnsi="Times New Roman" w:cs="Times New Roman"/>
          <w:sz w:val="24"/>
          <w:szCs w:val="24"/>
        </w:rPr>
        <w:t>Scientific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Conference</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University of </w:t>
      </w:r>
      <w:proofErr w:type="spellStart"/>
      <w:r w:rsidRPr="00720F22">
        <w:rPr>
          <w:rFonts w:ascii="Times New Roman" w:hAnsi="Times New Roman" w:cs="Times New Roman"/>
          <w:sz w:val="24"/>
          <w:szCs w:val="24"/>
        </w:rPr>
        <w:t>Latvia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Innovative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applied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research</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Biology</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Proceedings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Volume</w:t>
      </w:r>
      <w:proofErr w:type="spellEnd"/>
      <w:r w:rsidRPr="00720F22">
        <w:rPr>
          <w:rFonts w:ascii="Times New Roman" w:hAnsi="Times New Roman" w:cs="Times New Roman"/>
          <w:sz w:val="24"/>
          <w:szCs w:val="24"/>
        </w:rPr>
        <w:t xml:space="preserve"> 4, </w:t>
      </w:r>
      <w:proofErr w:type="spellStart"/>
      <w:r w:rsidRPr="00720F22">
        <w:rPr>
          <w:rFonts w:ascii="Times New Roman" w:hAnsi="Times New Roman" w:cs="Times New Roman"/>
          <w:sz w:val="24"/>
          <w:szCs w:val="24"/>
        </w:rPr>
        <w:t>Riga</w:t>
      </w:r>
      <w:proofErr w:type="spellEnd"/>
      <w:r w:rsidRPr="00720F22">
        <w:rPr>
          <w:rFonts w:ascii="Times New Roman" w:hAnsi="Times New Roman" w:cs="Times New Roman"/>
          <w:sz w:val="24"/>
          <w:szCs w:val="24"/>
        </w:rPr>
        <w:t xml:space="preserve">, 2022, 45. https://doi.org/10.22364/iarb.2022.07 </w:t>
      </w:r>
    </w:p>
    <w:p w14:paraId="5DDD859A" w14:textId="77777777" w:rsidR="000E2490" w:rsidRPr="00720F22" w:rsidRDefault="000E2490" w:rsidP="000E2490">
      <w:pPr>
        <w:pStyle w:val="ListParagraph"/>
        <w:numPr>
          <w:ilvl w:val="0"/>
          <w:numId w:val="4"/>
        </w:numPr>
        <w:autoSpaceDE w:val="0"/>
        <w:autoSpaceDN w:val="0"/>
        <w:adjustRightInd w:val="0"/>
        <w:spacing w:before="240" w:after="200" w:line="360" w:lineRule="auto"/>
        <w:jc w:val="both"/>
        <w:rPr>
          <w:rFonts w:ascii="Times New Roman" w:hAnsi="Times New Roman" w:cs="Times New Roman"/>
          <w:color w:val="000000"/>
          <w:sz w:val="24"/>
          <w:szCs w:val="24"/>
        </w:rPr>
      </w:pPr>
      <w:proofErr w:type="spellStart"/>
      <w:r w:rsidRPr="00720F22">
        <w:rPr>
          <w:rFonts w:ascii="Times New Roman" w:hAnsi="Times New Roman" w:cs="Times New Roman"/>
          <w:sz w:val="24"/>
          <w:szCs w:val="24"/>
        </w:rPr>
        <w:t>Žagata</w:t>
      </w:r>
      <w:proofErr w:type="spellEnd"/>
      <w:r w:rsidRPr="00720F22">
        <w:rPr>
          <w:rFonts w:ascii="Times New Roman" w:hAnsi="Times New Roman" w:cs="Times New Roman"/>
          <w:sz w:val="24"/>
          <w:szCs w:val="24"/>
        </w:rPr>
        <w:t xml:space="preserve"> K., Butkauskas D., </w:t>
      </w:r>
      <w:proofErr w:type="spellStart"/>
      <w:r w:rsidRPr="00720F22">
        <w:rPr>
          <w:rFonts w:ascii="Times New Roman" w:hAnsi="Times New Roman" w:cs="Times New Roman"/>
          <w:sz w:val="24"/>
          <w:szCs w:val="24"/>
        </w:rPr>
        <w:t>Vyšniauskienė</w:t>
      </w:r>
      <w:proofErr w:type="spellEnd"/>
      <w:r w:rsidRPr="00720F22">
        <w:rPr>
          <w:rFonts w:ascii="Times New Roman" w:hAnsi="Times New Roman" w:cs="Times New Roman"/>
          <w:sz w:val="24"/>
          <w:szCs w:val="24"/>
        </w:rPr>
        <w:t xml:space="preserve"> R., </w:t>
      </w:r>
      <w:proofErr w:type="spellStart"/>
      <w:r w:rsidRPr="00720F22">
        <w:rPr>
          <w:rFonts w:ascii="Times New Roman" w:hAnsi="Times New Roman" w:cs="Times New Roman"/>
          <w:sz w:val="24"/>
          <w:szCs w:val="24"/>
        </w:rPr>
        <w:t>Rančelienė</w:t>
      </w:r>
      <w:proofErr w:type="spellEnd"/>
      <w:r w:rsidRPr="00720F22">
        <w:rPr>
          <w:rFonts w:ascii="Times New Roman" w:hAnsi="Times New Roman" w:cs="Times New Roman"/>
          <w:sz w:val="24"/>
          <w:szCs w:val="24"/>
        </w:rPr>
        <w:t xml:space="preserve"> V., </w:t>
      </w:r>
      <w:r w:rsidRPr="00720F22">
        <w:rPr>
          <w:rFonts w:ascii="Times New Roman" w:hAnsi="Times New Roman" w:cs="Times New Roman"/>
          <w:b/>
          <w:bCs/>
          <w:sz w:val="24"/>
          <w:szCs w:val="24"/>
        </w:rPr>
        <w:t>Ignatavičienė I.,</w:t>
      </w:r>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Selga</w:t>
      </w:r>
      <w:proofErr w:type="spellEnd"/>
      <w:r w:rsidRPr="00720F22">
        <w:rPr>
          <w:rFonts w:ascii="Times New Roman" w:hAnsi="Times New Roman" w:cs="Times New Roman"/>
          <w:sz w:val="24"/>
          <w:szCs w:val="24"/>
        </w:rPr>
        <w:t xml:space="preserve"> T., </w:t>
      </w:r>
      <w:proofErr w:type="spellStart"/>
      <w:r w:rsidRPr="00720F22">
        <w:rPr>
          <w:rFonts w:ascii="Times New Roman" w:hAnsi="Times New Roman" w:cs="Times New Roman"/>
          <w:sz w:val="24"/>
          <w:szCs w:val="24"/>
        </w:rPr>
        <w:t>Miķelsone</w:t>
      </w:r>
      <w:proofErr w:type="spellEnd"/>
      <w:r w:rsidRPr="00720F22">
        <w:rPr>
          <w:rFonts w:ascii="Times New Roman" w:hAnsi="Times New Roman" w:cs="Times New Roman"/>
          <w:sz w:val="24"/>
          <w:szCs w:val="24"/>
        </w:rPr>
        <w:t xml:space="preserve"> A., </w:t>
      </w:r>
      <w:proofErr w:type="spellStart"/>
      <w:r w:rsidRPr="00720F22">
        <w:rPr>
          <w:rFonts w:ascii="Times New Roman" w:hAnsi="Times New Roman" w:cs="Times New Roman"/>
          <w:sz w:val="24"/>
          <w:szCs w:val="24"/>
        </w:rPr>
        <w:t>Rashal</w:t>
      </w:r>
      <w:proofErr w:type="spellEnd"/>
      <w:r w:rsidRPr="00720F22">
        <w:rPr>
          <w:rFonts w:ascii="Times New Roman" w:hAnsi="Times New Roman" w:cs="Times New Roman"/>
          <w:sz w:val="24"/>
          <w:szCs w:val="24"/>
        </w:rPr>
        <w:t xml:space="preserve"> I., </w:t>
      </w:r>
      <w:proofErr w:type="spellStart"/>
      <w:r w:rsidRPr="00720F22">
        <w:rPr>
          <w:rFonts w:ascii="Times New Roman" w:hAnsi="Times New Roman" w:cs="Times New Roman"/>
          <w:sz w:val="24"/>
          <w:szCs w:val="24"/>
        </w:rPr>
        <w:t>Grauda</w:t>
      </w:r>
      <w:proofErr w:type="spellEnd"/>
      <w:r w:rsidRPr="00720F22">
        <w:rPr>
          <w:rFonts w:ascii="Times New Roman" w:hAnsi="Times New Roman" w:cs="Times New Roman"/>
          <w:sz w:val="24"/>
          <w:szCs w:val="24"/>
        </w:rPr>
        <w:t xml:space="preserve"> D. </w:t>
      </w:r>
      <w:proofErr w:type="spellStart"/>
      <w:r w:rsidRPr="00720F22">
        <w:rPr>
          <w:rFonts w:ascii="Times New Roman" w:hAnsi="Times New Roman" w:cs="Times New Roman"/>
          <w:sz w:val="24"/>
          <w:szCs w:val="24"/>
        </w:rPr>
        <w:t>Establishing</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an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axenic</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lemna</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minor</w:t>
      </w:r>
      <w:proofErr w:type="spellEnd"/>
      <w:r w:rsidRPr="00720F22">
        <w:rPr>
          <w:rFonts w:ascii="Times New Roman" w:hAnsi="Times New Roman" w:cs="Times New Roman"/>
          <w:sz w:val="24"/>
          <w:szCs w:val="24"/>
        </w:rPr>
        <w:t xml:space="preserve"> line </w:t>
      </w:r>
      <w:proofErr w:type="spellStart"/>
      <w:r w:rsidRPr="00720F22">
        <w:rPr>
          <w:rFonts w:ascii="Times New Roman" w:hAnsi="Times New Roman" w:cs="Times New Roman"/>
          <w:sz w:val="24"/>
          <w:szCs w:val="24"/>
        </w:rPr>
        <w:t>as</w:t>
      </w:r>
      <w:proofErr w:type="spellEnd"/>
      <w:r w:rsidRPr="00720F22">
        <w:rPr>
          <w:rFonts w:ascii="Times New Roman" w:hAnsi="Times New Roman" w:cs="Times New Roman"/>
          <w:sz w:val="24"/>
          <w:szCs w:val="24"/>
        </w:rPr>
        <w:t xml:space="preserve"> a </w:t>
      </w:r>
      <w:proofErr w:type="spellStart"/>
      <w:r w:rsidRPr="00720F22">
        <w:rPr>
          <w:rFonts w:ascii="Times New Roman" w:hAnsi="Times New Roman" w:cs="Times New Roman"/>
          <w:sz w:val="24"/>
          <w:szCs w:val="24"/>
        </w:rPr>
        <w:t>model</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organism</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for</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wide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spectre</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biological</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and</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environmental</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investigations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Proceedings</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the</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Latvian</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academy</w:t>
      </w:r>
      <w:proofErr w:type="spellEnd"/>
      <w:r w:rsidRPr="00720F22">
        <w:rPr>
          <w:rFonts w:ascii="Times New Roman" w:hAnsi="Times New Roman" w:cs="Times New Roman"/>
          <w:sz w:val="24"/>
          <w:szCs w:val="24"/>
        </w:rPr>
        <w:t xml:space="preserve"> of </w:t>
      </w:r>
      <w:proofErr w:type="spellStart"/>
      <w:r w:rsidRPr="00720F22">
        <w:rPr>
          <w:rFonts w:ascii="Times New Roman" w:hAnsi="Times New Roman" w:cs="Times New Roman"/>
          <w:sz w:val="24"/>
          <w:szCs w:val="24"/>
        </w:rPr>
        <w:t>sciences</w:t>
      </w:r>
      <w:proofErr w:type="spellEnd"/>
      <w:r w:rsidRPr="00720F22">
        <w:rPr>
          <w:rFonts w:ascii="Times New Roman" w:hAnsi="Times New Roman" w:cs="Times New Roman"/>
          <w:sz w:val="24"/>
          <w:szCs w:val="24"/>
        </w:rPr>
        <w:t xml:space="preserve">. </w:t>
      </w:r>
      <w:proofErr w:type="spellStart"/>
      <w:r w:rsidRPr="00720F22">
        <w:rPr>
          <w:rFonts w:ascii="Times New Roman" w:hAnsi="Times New Roman" w:cs="Times New Roman"/>
          <w:sz w:val="24"/>
          <w:szCs w:val="24"/>
        </w:rPr>
        <w:t>Section</w:t>
      </w:r>
      <w:proofErr w:type="spellEnd"/>
      <w:r w:rsidRPr="00720F22">
        <w:rPr>
          <w:rFonts w:ascii="Times New Roman" w:hAnsi="Times New Roman" w:cs="Times New Roman"/>
          <w:sz w:val="24"/>
          <w:szCs w:val="24"/>
        </w:rPr>
        <w:t xml:space="preserve"> B, </w:t>
      </w:r>
      <w:proofErr w:type="spellStart"/>
      <w:r w:rsidRPr="00720F22">
        <w:rPr>
          <w:rFonts w:ascii="Times New Roman" w:hAnsi="Times New Roman" w:cs="Times New Roman"/>
          <w:sz w:val="24"/>
          <w:szCs w:val="24"/>
        </w:rPr>
        <w:t>vol</w:t>
      </w:r>
      <w:proofErr w:type="spellEnd"/>
      <w:r w:rsidRPr="00720F22">
        <w:rPr>
          <w:rFonts w:ascii="Times New Roman" w:hAnsi="Times New Roman" w:cs="Times New Roman"/>
          <w:sz w:val="24"/>
          <w:szCs w:val="24"/>
        </w:rPr>
        <w:t xml:space="preserve">. 77 (2023), </w:t>
      </w:r>
      <w:proofErr w:type="spellStart"/>
      <w:r w:rsidRPr="00720F22">
        <w:rPr>
          <w:rFonts w:ascii="Times New Roman" w:hAnsi="Times New Roman" w:cs="Times New Roman"/>
          <w:sz w:val="24"/>
          <w:szCs w:val="24"/>
        </w:rPr>
        <w:t>No</w:t>
      </w:r>
      <w:proofErr w:type="spellEnd"/>
      <w:r w:rsidRPr="00720F22">
        <w:rPr>
          <w:rFonts w:ascii="Times New Roman" w:hAnsi="Times New Roman" w:cs="Times New Roman"/>
          <w:sz w:val="24"/>
          <w:szCs w:val="24"/>
        </w:rPr>
        <w:t xml:space="preserve">. 3/4 (744/745), </w:t>
      </w:r>
      <w:proofErr w:type="spellStart"/>
      <w:r w:rsidRPr="00720F22">
        <w:rPr>
          <w:rFonts w:ascii="Times New Roman" w:hAnsi="Times New Roman" w:cs="Times New Roman"/>
          <w:sz w:val="24"/>
          <w:szCs w:val="24"/>
        </w:rPr>
        <w:t>pp</w:t>
      </w:r>
      <w:proofErr w:type="spellEnd"/>
      <w:r w:rsidRPr="00720F22">
        <w:rPr>
          <w:rFonts w:ascii="Times New Roman" w:hAnsi="Times New Roman" w:cs="Times New Roman"/>
          <w:sz w:val="24"/>
          <w:szCs w:val="24"/>
        </w:rPr>
        <w:t>. 20–30. https://doi.org/10.2478/prolas-2023-0025</w:t>
      </w:r>
    </w:p>
    <w:p w14:paraId="1B0286E0" w14:textId="3E308953" w:rsidR="00840011" w:rsidRPr="00986969" w:rsidRDefault="00840011" w:rsidP="00986969">
      <w:pPr>
        <w:rPr>
          <w:rFonts w:ascii="Times New Roman" w:eastAsia="Times New Roman" w:hAnsi="Times New Roman" w:cs="Times New Roman"/>
          <w:color w:val="000000"/>
          <w:kern w:val="0"/>
          <w:sz w:val="24"/>
          <w:szCs w:val="24"/>
          <w:lang w:eastAsia="lt-LT"/>
          <w14:ligatures w14:val="none"/>
        </w:rPr>
      </w:pPr>
    </w:p>
    <w:sectPr w:rsidR="00840011" w:rsidRPr="00986969" w:rsidSect="006E7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CE1"/>
    <w:multiLevelType w:val="hybridMultilevel"/>
    <w:tmpl w:val="819EFBAA"/>
    <w:lvl w:ilvl="0" w:tplc="FFFFFFF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C50AF3"/>
    <w:multiLevelType w:val="hybridMultilevel"/>
    <w:tmpl w:val="7B54AEB2"/>
    <w:lvl w:ilvl="0" w:tplc="FFFFFFF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A67233"/>
    <w:multiLevelType w:val="hybridMultilevel"/>
    <w:tmpl w:val="3C4EDD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FA25BD7"/>
    <w:multiLevelType w:val="hybridMultilevel"/>
    <w:tmpl w:val="3C4EDDF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8729658">
    <w:abstractNumId w:val="3"/>
  </w:num>
  <w:num w:numId="2" w16cid:durableId="1529444181">
    <w:abstractNumId w:val="2"/>
  </w:num>
  <w:num w:numId="3" w16cid:durableId="553588396">
    <w:abstractNumId w:val="0"/>
  </w:num>
  <w:num w:numId="4" w16cid:durableId="5054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7"/>
    <w:rsid w:val="000E2490"/>
    <w:rsid w:val="00147984"/>
    <w:rsid w:val="00317D59"/>
    <w:rsid w:val="004830E9"/>
    <w:rsid w:val="00522722"/>
    <w:rsid w:val="00613895"/>
    <w:rsid w:val="00636B3F"/>
    <w:rsid w:val="006E7F49"/>
    <w:rsid w:val="00720F22"/>
    <w:rsid w:val="007705D0"/>
    <w:rsid w:val="00840011"/>
    <w:rsid w:val="008A55DC"/>
    <w:rsid w:val="008F0EE4"/>
    <w:rsid w:val="00986969"/>
    <w:rsid w:val="009B2BC5"/>
    <w:rsid w:val="00C47367"/>
    <w:rsid w:val="00D30FEE"/>
    <w:rsid w:val="00D44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CDC"/>
  <w15:chartTrackingRefBased/>
  <w15:docId w15:val="{A585759C-30F8-4F1E-A530-DED70FB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67"/>
    <w:rPr>
      <w:rFonts w:eastAsiaTheme="majorEastAsia" w:cstheme="majorBidi"/>
      <w:color w:val="272727" w:themeColor="text1" w:themeTint="D8"/>
    </w:rPr>
  </w:style>
  <w:style w:type="paragraph" w:styleId="Title">
    <w:name w:val="Title"/>
    <w:basedOn w:val="Normal"/>
    <w:next w:val="Normal"/>
    <w:link w:val="TitleChar"/>
    <w:uiPriority w:val="10"/>
    <w:qFormat/>
    <w:rsid w:val="00C4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67"/>
    <w:pPr>
      <w:spacing w:before="160"/>
      <w:jc w:val="center"/>
    </w:pPr>
    <w:rPr>
      <w:i/>
      <w:iCs/>
      <w:color w:val="404040" w:themeColor="text1" w:themeTint="BF"/>
    </w:rPr>
  </w:style>
  <w:style w:type="character" w:customStyle="1" w:styleId="QuoteChar">
    <w:name w:val="Quote Char"/>
    <w:basedOn w:val="DefaultParagraphFont"/>
    <w:link w:val="Quote"/>
    <w:uiPriority w:val="29"/>
    <w:rsid w:val="00C47367"/>
    <w:rPr>
      <w:i/>
      <w:iCs/>
      <w:color w:val="404040" w:themeColor="text1" w:themeTint="BF"/>
    </w:rPr>
  </w:style>
  <w:style w:type="paragraph" w:styleId="ListParagraph">
    <w:name w:val="List Paragraph"/>
    <w:basedOn w:val="Normal"/>
    <w:uiPriority w:val="34"/>
    <w:qFormat/>
    <w:rsid w:val="00C47367"/>
    <w:pPr>
      <w:ind w:left="720"/>
      <w:contextualSpacing/>
    </w:pPr>
  </w:style>
  <w:style w:type="character" w:styleId="IntenseEmphasis">
    <w:name w:val="Intense Emphasis"/>
    <w:basedOn w:val="DefaultParagraphFont"/>
    <w:uiPriority w:val="21"/>
    <w:qFormat/>
    <w:rsid w:val="00C47367"/>
    <w:rPr>
      <w:i/>
      <w:iCs/>
      <w:color w:val="0F4761" w:themeColor="accent1" w:themeShade="BF"/>
    </w:rPr>
  </w:style>
  <w:style w:type="paragraph" w:styleId="IntenseQuote">
    <w:name w:val="Intense Quote"/>
    <w:basedOn w:val="Normal"/>
    <w:next w:val="Normal"/>
    <w:link w:val="IntenseQuoteChar"/>
    <w:uiPriority w:val="30"/>
    <w:qFormat/>
    <w:rsid w:val="00C4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67"/>
    <w:rPr>
      <w:i/>
      <w:iCs/>
      <w:color w:val="0F4761" w:themeColor="accent1" w:themeShade="BF"/>
    </w:rPr>
  </w:style>
  <w:style w:type="character" w:styleId="IntenseReference">
    <w:name w:val="Intense Reference"/>
    <w:basedOn w:val="DefaultParagraphFont"/>
    <w:uiPriority w:val="32"/>
    <w:qFormat/>
    <w:rsid w:val="00C47367"/>
    <w:rPr>
      <w:b/>
      <w:bCs/>
      <w:smallCaps/>
      <w:color w:val="0F4761" w:themeColor="accent1" w:themeShade="BF"/>
      <w:spacing w:val="5"/>
    </w:rPr>
  </w:style>
  <w:style w:type="paragraph" w:styleId="NormalWeb">
    <w:name w:val="Normal (Web)"/>
    <w:basedOn w:val="Normal"/>
    <w:uiPriority w:val="99"/>
    <w:semiHidden/>
    <w:unhideWhenUsed/>
    <w:rsid w:val="00C473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FollowedHyperlink">
    <w:name w:val="FollowedHyperlink"/>
    <w:basedOn w:val="DefaultParagraphFont"/>
    <w:uiPriority w:val="99"/>
    <w:semiHidden/>
    <w:unhideWhenUsed/>
    <w:rsid w:val="004830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Aurika Ričkienė</dc:creator>
  <cp:keywords/>
  <dc:description/>
  <cp:lastModifiedBy>Simona Četvergaitė-Marcinkevičienė</cp:lastModifiedBy>
  <cp:revision>2</cp:revision>
  <dcterms:created xsi:type="dcterms:W3CDTF">2025-04-02T07:07:00Z</dcterms:created>
  <dcterms:modified xsi:type="dcterms:W3CDTF">2025-04-02T07:07:00Z</dcterms:modified>
</cp:coreProperties>
</file>