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42D4" w14:textId="0738667A" w:rsidR="00C47367" w:rsidRPr="003B4D6B" w:rsidRDefault="00C47367" w:rsidP="00320021">
      <w:pPr>
        <w:pStyle w:val="prastasiniatinklio"/>
        <w:jc w:val="both"/>
        <w:rPr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Author</w:t>
      </w:r>
      <w:proofErr w:type="spellEnd"/>
      <w:r w:rsidRPr="003B4D6B">
        <w:rPr>
          <w:color w:val="000000"/>
          <w:sz w:val="22"/>
          <w:szCs w:val="22"/>
        </w:rPr>
        <w:t xml:space="preserve">: </w:t>
      </w:r>
      <w:r w:rsidR="003B4D6B" w:rsidRPr="003B4D6B">
        <w:rPr>
          <w:color w:val="000000"/>
          <w:sz w:val="22"/>
          <w:szCs w:val="22"/>
        </w:rPr>
        <w:t xml:space="preserve">Laurynas </w:t>
      </w:r>
      <w:proofErr w:type="spellStart"/>
      <w:r w:rsidR="003B4D6B" w:rsidRPr="003B4D6B">
        <w:rPr>
          <w:color w:val="000000"/>
          <w:sz w:val="22"/>
          <w:szCs w:val="22"/>
        </w:rPr>
        <w:t>Taura</w:t>
      </w:r>
      <w:proofErr w:type="spellEnd"/>
    </w:p>
    <w:p w14:paraId="46B96D79" w14:textId="17D9B9AC" w:rsidR="00C47367" w:rsidRPr="003B4D6B" w:rsidRDefault="00C47367" w:rsidP="00320021">
      <w:pPr>
        <w:pStyle w:val="prastasiniatinklio"/>
        <w:jc w:val="both"/>
        <w:rPr>
          <w:i/>
          <w:iCs/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The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B4D6B">
        <w:rPr>
          <w:b/>
          <w:bCs/>
          <w:color w:val="000000"/>
          <w:sz w:val="22"/>
          <w:szCs w:val="22"/>
        </w:rPr>
        <w:t>title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3B4D6B">
        <w:rPr>
          <w:b/>
          <w:bCs/>
          <w:color w:val="000000"/>
          <w:sz w:val="22"/>
          <w:szCs w:val="22"/>
        </w:rPr>
        <w:t>dissertation</w:t>
      </w:r>
      <w:proofErr w:type="spellEnd"/>
      <w:r w:rsidRPr="003B4D6B">
        <w:rPr>
          <w:color w:val="000000"/>
          <w:sz w:val="22"/>
          <w:szCs w:val="22"/>
        </w:rPr>
        <w:t xml:space="preserve">: </w:t>
      </w:r>
      <w:proofErr w:type="spellStart"/>
      <w:r w:rsidR="003B4D6B" w:rsidRPr="003B4D6B">
        <w:rPr>
          <w:sz w:val="22"/>
          <w:szCs w:val="22"/>
        </w:rPr>
        <w:t>The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effect</w:t>
      </w:r>
      <w:proofErr w:type="spellEnd"/>
      <w:r w:rsidR="003B4D6B" w:rsidRPr="003B4D6B">
        <w:rPr>
          <w:sz w:val="22"/>
          <w:szCs w:val="22"/>
        </w:rPr>
        <w:t xml:space="preserve"> of </w:t>
      </w:r>
      <w:proofErr w:type="spellStart"/>
      <w:r w:rsidR="003B4D6B" w:rsidRPr="003B4D6B">
        <w:rPr>
          <w:sz w:val="22"/>
          <w:szCs w:val="22"/>
        </w:rPr>
        <w:t>habitat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conditions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on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plant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traits</w:t>
      </w:r>
      <w:proofErr w:type="spellEnd"/>
      <w:r w:rsidR="003B4D6B" w:rsidRPr="003B4D6B">
        <w:rPr>
          <w:sz w:val="22"/>
          <w:szCs w:val="22"/>
        </w:rPr>
        <w:t xml:space="preserve">, </w:t>
      </w:r>
      <w:proofErr w:type="spellStart"/>
      <w:r w:rsidR="003B4D6B" w:rsidRPr="003B4D6B">
        <w:rPr>
          <w:sz w:val="22"/>
          <w:szCs w:val="22"/>
        </w:rPr>
        <w:t>reproductive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success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and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population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structure</w:t>
      </w:r>
      <w:proofErr w:type="spellEnd"/>
      <w:r w:rsidR="003B4D6B" w:rsidRPr="003B4D6B">
        <w:rPr>
          <w:sz w:val="22"/>
          <w:szCs w:val="22"/>
        </w:rPr>
        <w:t xml:space="preserve"> of </w:t>
      </w:r>
      <w:proofErr w:type="spellStart"/>
      <w:r w:rsidR="003B4D6B" w:rsidRPr="00420399">
        <w:rPr>
          <w:i/>
          <w:iCs/>
          <w:sz w:val="22"/>
          <w:szCs w:val="22"/>
        </w:rPr>
        <w:t>Cephalanthera</w:t>
      </w:r>
      <w:proofErr w:type="spellEnd"/>
      <w:r w:rsidR="003B4D6B" w:rsidRPr="00420399">
        <w:rPr>
          <w:i/>
          <w:iCs/>
          <w:sz w:val="22"/>
          <w:szCs w:val="22"/>
        </w:rPr>
        <w:t xml:space="preserve"> </w:t>
      </w:r>
      <w:proofErr w:type="spellStart"/>
      <w:r w:rsidR="003B4D6B" w:rsidRPr="00420399">
        <w:rPr>
          <w:i/>
          <w:iCs/>
          <w:sz w:val="22"/>
          <w:szCs w:val="22"/>
        </w:rPr>
        <w:t>longifolia</w:t>
      </w:r>
      <w:proofErr w:type="spellEnd"/>
      <w:r w:rsidR="003B4D6B" w:rsidRPr="003B4D6B">
        <w:rPr>
          <w:sz w:val="22"/>
          <w:szCs w:val="22"/>
        </w:rPr>
        <w:t xml:space="preserve">, </w:t>
      </w:r>
      <w:proofErr w:type="spellStart"/>
      <w:r w:rsidR="003B4D6B" w:rsidRPr="00420399">
        <w:rPr>
          <w:i/>
          <w:iCs/>
          <w:sz w:val="22"/>
          <w:szCs w:val="22"/>
        </w:rPr>
        <w:t>Cephalanthera</w:t>
      </w:r>
      <w:proofErr w:type="spellEnd"/>
      <w:r w:rsidR="003B4D6B" w:rsidRPr="00420399">
        <w:rPr>
          <w:i/>
          <w:iCs/>
          <w:sz w:val="22"/>
          <w:szCs w:val="22"/>
        </w:rPr>
        <w:t xml:space="preserve"> </w:t>
      </w:r>
      <w:proofErr w:type="spellStart"/>
      <w:r w:rsidR="003B4D6B" w:rsidRPr="00420399">
        <w:rPr>
          <w:i/>
          <w:iCs/>
          <w:sz w:val="22"/>
          <w:szCs w:val="22"/>
        </w:rPr>
        <w:t>rubra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sz w:val="22"/>
          <w:szCs w:val="22"/>
        </w:rPr>
        <w:t>and</w:t>
      </w:r>
      <w:proofErr w:type="spellEnd"/>
      <w:r w:rsidR="003B4D6B" w:rsidRPr="003B4D6B">
        <w:rPr>
          <w:sz w:val="22"/>
          <w:szCs w:val="22"/>
        </w:rPr>
        <w:t xml:space="preserve"> </w:t>
      </w:r>
      <w:proofErr w:type="spellStart"/>
      <w:r w:rsidR="003B4D6B" w:rsidRPr="003B4D6B">
        <w:rPr>
          <w:i/>
          <w:iCs/>
          <w:sz w:val="22"/>
          <w:szCs w:val="22"/>
        </w:rPr>
        <w:t>Cardamine</w:t>
      </w:r>
      <w:proofErr w:type="spellEnd"/>
      <w:r w:rsidR="003B4D6B" w:rsidRPr="003B4D6B">
        <w:rPr>
          <w:i/>
          <w:iCs/>
          <w:sz w:val="22"/>
          <w:szCs w:val="22"/>
        </w:rPr>
        <w:t xml:space="preserve"> </w:t>
      </w:r>
      <w:proofErr w:type="spellStart"/>
      <w:r w:rsidR="003B4D6B" w:rsidRPr="003B4D6B">
        <w:rPr>
          <w:i/>
          <w:iCs/>
          <w:sz w:val="22"/>
          <w:szCs w:val="22"/>
        </w:rPr>
        <w:t>bulbifera</w:t>
      </w:r>
      <w:proofErr w:type="spellEnd"/>
    </w:p>
    <w:p w14:paraId="52A9861C" w14:textId="7B9B393A" w:rsidR="00C47367" w:rsidRPr="003B4D6B" w:rsidRDefault="00C47367" w:rsidP="00320021">
      <w:pPr>
        <w:pStyle w:val="prastasiniatinklio"/>
        <w:jc w:val="both"/>
        <w:rPr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Subject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B4D6B">
        <w:rPr>
          <w:b/>
          <w:bCs/>
          <w:color w:val="000000"/>
          <w:sz w:val="22"/>
          <w:szCs w:val="22"/>
        </w:rPr>
        <w:t>area</w:t>
      </w:r>
      <w:proofErr w:type="spellEnd"/>
      <w:r w:rsidRPr="003B4D6B">
        <w:rPr>
          <w:color w:val="000000"/>
          <w:sz w:val="22"/>
          <w:szCs w:val="22"/>
        </w:rPr>
        <w:t xml:space="preserve">: </w:t>
      </w:r>
      <w:proofErr w:type="spellStart"/>
      <w:r w:rsidR="003B4D6B" w:rsidRPr="003B4D6B">
        <w:rPr>
          <w:color w:val="000000"/>
          <w:sz w:val="22"/>
          <w:szCs w:val="22"/>
        </w:rPr>
        <w:t>Natural</w:t>
      </w:r>
      <w:proofErr w:type="spellEnd"/>
      <w:r w:rsidR="003B4D6B" w:rsidRPr="003B4D6B">
        <w:rPr>
          <w:color w:val="000000"/>
          <w:sz w:val="22"/>
          <w:szCs w:val="22"/>
        </w:rPr>
        <w:t xml:space="preserve"> </w:t>
      </w:r>
      <w:proofErr w:type="spellStart"/>
      <w:r w:rsidR="003B4D6B" w:rsidRPr="003B4D6B">
        <w:rPr>
          <w:color w:val="000000"/>
          <w:sz w:val="22"/>
          <w:szCs w:val="22"/>
        </w:rPr>
        <w:t>Sciences</w:t>
      </w:r>
      <w:proofErr w:type="spellEnd"/>
      <w:r w:rsidR="003B4D6B" w:rsidRPr="003B4D6B">
        <w:rPr>
          <w:color w:val="000000"/>
          <w:sz w:val="22"/>
          <w:szCs w:val="22"/>
        </w:rPr>
        <w:t xml:space="preserve">, </w:t>
      </w:r>
      <w:proofErr w:type="spellStart"/>
      <w:r w:rsidR="003B4D6B" w:rsidRPr="003B4D6B">
        <w:rPr>
          <w:color w:val="000000"/>
          <w:sz w:val="22"/>
          <w:szCs w:val="22"/>
        </w:rPr>
        <w:t>Ecology</w:t>
      </w:r>
      <w:proofErr w:type="spellEnd"/>
      <w:r w:rsidR="003B4D6B" w:rsidRPr="003B4D6B">
        <w:rPr>
          <w:color w:val="000000"/>
          <w:sz w:val="22"/>
          <w:szCs w:val="22"/>
        </w:rPr>
        <w:t xml:space="preserve"> </w:t>
      </w:r>
      <w:proofErr w:type="spellStart"/>
      <w:r w:rsidR="003B4D6B" w:rsidRPr="003B4D6B">
        <w:rPr>
          <w:color w:val="000000"/>
          <w:sz w:val="22"/>
          <w:szCs w:val="22"/>
        </w:rPr>
        <w:t>and</w:t>
      </w:r>
      <w:proofErr w:type="spellEnd"/>
      <w:r w:rsidR="003B4D6B" w:rsidRPr="003B4D6B">
        <w:rPr>
          <w:color w:val="000000"/>
          <w:sz w:val="22"/>
          <w:szCs w:val="22"/>
        </w:rPr>
        <w:t xml:space="preserve"> </w:t>
      </w:r>
      <w:proofErr w:type="spellStart"/>
      <w:r w:rsidR="003B4D6B" w:rsidRPr="003B4D6B">
        <w:rPr>
          <w:color w:val="000000"/>
          <w:sz w:val="22"/>
          <w:szCs w:val="22"/>
        </w:rPr>
        <w:t>Environmental</w:t>
      </w:r>
      <w:proofErr w:type="spellEnd"/>
      <w:r w:rsidR="003B4D6B" w:rsidRPr="003B4D6B">
        <w:rPr>
          <w:color w:val="000000"/>
          <w:sz w:val="22"/>
          <w:szCs w:val="22"/>
        </w:rPr>
        <w:t xml:space="preserve"> </w:t>
      </w:r>
      <w:proofErr w:type="spellStart"/>
      <w:r w:rsidR="003B4D6B" w:rsidRPr="003B4D6B">
        <w:rPr>
          <w:color w:val="000000"/>
          <w:sz w:val="22"/>
          <w:szCs w:val="22"/>
        </w:rPr>
        <w:t>Sciences</w:t>
      </w:r>
      <w:proofErr w:type="spellEnd"/>
      <w:r w:rsidR="003B4D6B" w:rsidRPr="003B4D6B">
        <w:rPr>
          <w:color w:val="000000"/>
          <w:sz w:val="22"/>
          <w:szCs w:val="22"/>
        </w:rPr>
        <w:t xml:space="preserve"> (N 012)</w:t>
      </w:r>
    </w:p>
    <w:p w14:paraId="4C8AC121" w14:textId="61E208DD" w:rsidR="00C47367" w:rsidRPr="003B4D6B" w:rsidRDefault="00C47367" w:rsidP="00320021">
      <w:pPr>
        <w:pStyle w:val="prastasiniatinklio"/>
        <w:jc w:val="both"/>
        <w:rPr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Scientific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B4D6B">
        <w:rPr>
          <w:b/>
          <w:bCs/>
          <w:color w:val="000000"/>
          <w:sz w:val="22"/>
          <w:szCs w:val="22"/>
        </w:rPr>
        <w:t>supervisor</w:t>
      </w:r>
      <w:proofErr w:type="spellEnd"/>
      <w:r w:rsidRPr="003B4D6B">
        <w:rPr>
          <w:color w:val="000000"/>
          <w:sz w:val="22"/>
          <w:szCs w:val="22"/>
        </w:rPr>
        <w:t xml:space="preserve">: </w:t>
      </w:r>
      <w:r w:rsidR="003B4D6B" w:rsidRPr="003B4D6B">
        <w:rPr>
          <w:color w:val="000000"/>
          <w:sz w:val="22"/>
          <w:szCs w:val="22"/>
        </w:rPr>
        <w:t>Dr. Zigmantas Gudžinskas</w:t>
      </w:r>
    </w:p>
    <w:p w14:paraId="021FEA7B" w14:textId="382243EC" w:rsidR="00C47367" w:rsidRPr="003B4D6B" w:rsidRDefault="00C47367" w:rsidP="00320021">
      <w:pPr>
        <w:pStyle w:val="prastasiniatinklio"/>
        <w:jc w:val="both"/>
        <w:rPr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The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B4D6B">
        <w:rPr>
          <w:b/>
          <w:bCs/>
          <w:color w:val="000000"/>
          <w:sz w:val="22"/>
          <w:szCs w:val="22"/>
        </w:rPr>
        <w:t>period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3B4D6B">
        <w:rPr>
          <w:b/>
          <w:bCs/>
          <w:color w:val="000000"/>
          <w:sz w:val="22"/>
          <w:szCs w:val="22"/>
        </w:rPr>
        <w:t>research</w:t>
      </w:r>
      <w:proofErr w:type="spellEnd"/>
      <w:r w:rsidRPr="003B4D6B">
        <w:rPr>
          <w:color w:val="000000"/>
          <w:sz w:val="22"/>
          <w:szCs w:val="22"/>
        </w:rPr>
        <w:t xml:space="preserve">: </w:t>
      </w:r>
      <w:r w:rsidR="003B4D6B" w:rsidRPr="003B4D6B">
        <w:rPr>
          <w:color w:val="000000"/>
          <w:sz w:val="22"/>
          <w:szCs w:val="22"/>
        </w:rPr>
        <w:t>2020 – 2024</w:t>
      </w:r>
    </w:p>
    <w:p w14:paraId="1D731BD8" w14:textId="543BA64B" w:rsidR="00C47367" w:rsidRPr="003B4D6B" w:rsidRDefault="00C47367" w:rsidP="00320021">
      <w:pPr>
        <w:pStyle w:val="prastasiniatinklio"/>
        <w:jc w:val="both"/>
        <w:rPr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Date</w:t>
      </w:r>
      <w:proofErr w:type="spellEnd"/>
      <w:r w:rsidRPr="003B4D6B">
        <w:rPr>
          <w:b/>
          <w:bCs/>
          <w:color w:val="000000"/>
          <w:sz w:val="22"/>
          <w:szCs w:val="22"/>
        </w:rPr>
        <w:t xml:space="preserve"> of </w:t>
      </w:r>
      <w:proofErr w:type="spellStart"/>
      <w:r w:rsidRPr="003B4D6B">
        <w:rPr>
          <w:b/>
          <w:bCs/>
          <w:color w:val="000000"/>
          <w:sz w:val="22"/>
          <w:szCs w:val="22"/>
        </w:rPr>
        <w:t>defence</w:t>
      </w:r>
      <w:proofErr w:type="spellEnd"/>
      <w:r w:rsidRPr="003B4D6B">
        <w:rPr>
          <w:color w:val="000000"/>
          <w:sz w:val="22"/>
          <w:szCs w:val="22"/>
        </w:rPr>
        <w:t xml:space="preserve">: </w:t>
      </w:r>
      <w:r w:rsidR="003B4D6B" w:rsidRPr="003B4D6B">
        <w:rPr>
          <w:color w:val="000000"/>
          <w:sz w:val="22"/>
          <w:szCs w:val="22"/>
        </w:rPr>
        <w:t>2025-10-28</w:t>
      </w:r>
    </w:p>
    <w:p w14:paraId="69E96D84" w14:textId="4A25A9EE" w:rsidR="00C47367" w:rsidRPr="003B4D6B" w:rsidRDefault="00C47367" w:rsidP="003B4D6B">
      <w:pPr>
        <w:pStyle w:val="prastasiniatinklio"/>
        <w:jc w:val="center"/>
        <w:rPr>
          <w:b/>
          <w:bCs/>
          <w:color w:val="000000"/>
          <w:sz w:val="22"/>
          <w:szCs w:val="22"/>
        </w:rPr>
      </w:pPr>
      <w:proofErr w:type="spellStart"/>
      <w:r w:rsidRPr="003B4D6B">
        <w:rPr>
          <w:b/>
          <w:bCs/>
          <w:color w:val="000000"/>
          <w:sz w:val="22"/>
          <w:szCs w:val="22"/>
        </w:rPr>
        <w:t>Summary</w:t>
      </w:r>
      <w:proofErr w:type="spellEnd"/>
    </w:p>
    <w:p w14:paraId="187828F2" w14:textId="77777777" w:rsidR="003B4D6B" w:rsidRPr="003B4D6B" w:rsidRDefault="003B4D6B" w:rsidP="003B4D6B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B4D6B">
        <w:rPr>
          <w:rFonts w:ascii="Times New Roman" w:hAnsi="Times New Roman" w:cs="Times New Roman"/>
        </w:rPr>
        <w:t>This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dissertation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presents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results</w:t>
      </w:r>
      <w:proofErr w:type="spellEnd"/>
      <w:r w:rsidRPr="003B4D6B">
        <w:rPr>
          <w:rFonts w:ascii="Times New Roman" w:hAnsi="Times New Roman" w:cs="Times New Roman"/>
        </w:rPr>
        <w:t xml:space="preserve"> of a </w:t>
      </w:r>
      <w:proofErr w:type="spellStart"/>
      <w:r w:rsidRPr="003B4D6B">
        <w:rPr>
          <w:rFonts w:ascii="Times New Roman" w:hAnsi="Times New Roman" w:cs="Times New Roman"/>
        </w:rPr>
        <w:t>study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three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endangered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woodland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plant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species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Lithuania: </w:t>
      </w:r>
      <w:proofErr w:type="spellStart"/>
      <w:r w:rsidRPr="003B4D6B">
        <w:rPr>
          <w:rFonts w:ascii="Times New Roman" w:hAnsi="Times New Roman" w:cs="Times New Roman"/>
          <w:i/>
          <w:iCs/>
        </w:rPr>
        <w:t>Cephalanthera</w:t>
      </w:r>
      <w:proofErr w:type="spellEnd"/>
      <w:r w:rsidRPr="003B4D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B4D6B">
        <w:rPr>
          <w:rFonts w:ascii="Times New Roman" w:hAnsi="Times New Roman" w:cs="Times New Roman"/>
          <w:i/>
          <w:iCs/>
        </w:rPr>
        <w:t>longifolia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rubra</w:t>
      </w:r>
      <w:proofErr w:type="spellEnd"/>
      <w:r w:rsidRPr="003B4D6B">
        <w:rPr>
          <w:rFonts w:ascii="Times New Roman" w:hAnsi="Times New Roman" w:cs="Times New Roman"/>
        </w:rPr>
        <w:t xml:space="preserve"> (</w:t>
      </w:r>
      <w:proofErr w:type="spellStart"/>
      <w:r w:rsidRPr="003B4D6B">
        <w:rPr>
          <w:rFonts w:ascii="Times New Roman" w:hAnsi="Times New Roman" w:cs="Times New Roman"/>
        </w:rPr>
        <w:t>Orchidaceae</w:t>
      </w:r>
      <w:proofErr w:type="spellEnd"/>
      <w:r w:rsidRPr="003B4D6B">
        <w:rPr>
          <w:rFonts w:ascii="Times New Roman" w:hAnsi="Times New Roman" w:cs="Times New Roman"/>
        </w:rPr>
        <w:t xml:space="preserve">)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  <w:i/>
          <w:iCs/>
        </w:rPr>
        <w:t>Cardamine</w:t>
      </w:r>
      <w:proofErr w:type="spellEnd"/>
      <w:r w:rsidRPr="003B4D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B4D6B">
        <w:rPr>
          <w:rFonts w:ascii="Times New Roman" w:hAnsi="Times New Roman" w:cs="Times New Roman"/>
          <w:i/>
          <w:iCs/>
        </w:rPr>
        <w:t>bulbifera</w:t>
      </w:r>
      <w:proofErr w:type="spellEnd"/>
      <w:r w:rsidRPr="003B4D6B">
        <w:rPr>
          <w:rFonts w:ascii="Times New Roman" w:hAnsi="Times New Roman" w:cs="Times New Roman"/>
        </w:rPr>
        <w:t xml:space="preserve"> (</w:t>
      </w:r>
      <w:proofErr w:type="spellStart"/>
      <w:r w:rsidRPr="003B4D6B">
        <w:rPr>
          <w:rFonts w:ascii="Times New Roman" w:hAnsi="Times New Roman" w:cs="Times New Roman"/>
        </w:rPr>
        <w:t>Brassicaceae</w:t>
      </w:r>
      <w:proofErr w:type="spellEnd"/>
      <w:r w:rsidRPr="003B4D6B">
        <w:rPr>
          <w:rFonts w:ascii="Times New Roman" w:hAnsi="Times New Roman" w:cs="Times New Roman"/>
        </w:rPr>
        <w:t xml:space="preserve">).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aim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study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was</w:t>
      </w:r>
      <w:proofErr w:type="spellEnd"/>
      <w:r w:rsidRPr="003B4D6B">
        <w:rPr>
          <w:rFonts w:ascii="Times New Roman" w:hAnsi="Times New Roman" w:cs="Times New Roman"/>
        </w:rPr>
        <w:t xml:space="preserve"> to </w:t>
      </w:r>
      <w:proofErr w:type="spellStart"/>
      <w:r w:rsidRPr="003B4D6B">
        <w:rPr>
          <w:rFonts w:ascii="Times New Roman" w:hAnsi="Times New Roman" w:cs="Times New Roman"/>
        </w:rPr>
        <w:t>assess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effect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habitats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structure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plant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traits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reproductive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success</w:t>
      </w:r>
      <w:proofErr w:type="spellEnd"/>
      <w:r w:rsidRPr="003B4D6B">
        <w:rPr>
          <w:rFonts w:ascii="Times New Roman" w:hAnsi="Times New Roman" w:cs="Times New Roman"/>
        </w:rPr>
        <w:t xml:space="preserve">. A </w:t>
      </w:r>
      <w:proofErr w:type="spellStart"/>
      <w:r w:rsidRPr="003B4D6B">
        <w:rPr>
          <w:rFonts w:ascii="Times New Roman" w:hAnsi="Times New Roman" w:cs="Times New Roman"/>
        </w:rPr>
        <w:t>standardised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trait-based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approach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used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combining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single-census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assessments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with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observational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studies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natural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(2021–2023), </w:t>
      </w:r>
      <w:proofErr w:type="spellStart"/>
      <w:r w:rsidRPr="003B4D6B">
        <w:rPr>
          <w:rFonts w:ascii="Times New Roman" w:hAnsi="Times New Roman" w:cs="Times New Roman"/>
        </w:rPr>
        <w:t>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well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experiment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simulated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autogamy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allogamy</w:t>
      </w:r>
      <w:proofErr w:type="spellEnd"/>
      <w:r w:rsidRPr="003B4D6B">
        <w:rPr>
          <w:rFonts w:ascii="Times New Roman" w:hAnsi="Times New Roman" w:cs="Times New Roman"/>
        </w:rPr>
        <w:t xml:space="preserve"> (2022).</w:t>
      </w:r>
    </w:p>
    <w:p w14:paraId="54C77D71" w14:textId="77777777" w:rsidR="003B4D6B" w:rsidRPr="003B4D6B" w:rsidRDefault="003B4D6B" w:rsidP="003B4D6B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analysis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revealed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that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longifolia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expanding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successfully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colonising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habitats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ranging</w:t>
      </w:r>
      <w:proofErr w:type="spellEnd"/>
      <w:r w:rsidRPr="003B4D6B">
        <w:rPr>
          <w:rFonts w:ascii="Times New Roman" w:hAnsi="Times New Roman" w:cs="Times New Roman"/>
        </w:rPr>
        <w:t xml:space="preserve"> from </w:t>
      </w:r>
      <w:proofErr w:type="spellStart"/>
      <w:r w:rsidRPr="003B4D6B">
        <w:rPr>
          <w:rFonts w:ascii="Times New Roman" w:hAnsi="Times New Roman" w:cs="Times New Roman"/>
        </w:rPr>
        <w:t>shaded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forests</w:t>
      </w:r>
      <w:proofErr w:type="spellEnd"/>
      <w:r w:rsidRPr="003B4D6B">
        <w:rPr>
          <w:rFonts w:ascii="Times New Roman" w:hAnsi="Times New Roman" w:cs="Times New Roman"/>
        </w:rPr>
        <w:t xml:space="preserve"> to </w:t>
      </w:r>
      <w:proofErr w:type="spellStart"/>
      <w:r w:rsidRPr="003B4D6B">
        <w:rPr>
          <w:rFonts w:ascii="Times New Roman" w:hAnsi="Times New Roman" w:cs="Times New Roman"/>
        </w:rPr>
        <w:t>early-successional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tree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stands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contrast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rubra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significantly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rarer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confined</w:t>
      </w:r>
      <w:proofErr w:type="spellEnd"/>
      <w:r w:rsidRPr="003B4D6B">
        <w:rPr>
          <w:rFonts w:ascii="Times New Roman" w:hAnsi="Times New Roman" w:cs="Times New Roman"/>
        </w:rPr>
        <w:t xml:space="preserve"> to </w:t>
      </w:r>
      <w:proofErr w:type="spellStart"/>
      <w:r w:rsidRPr="003B4D6B">
        <w:rPr>
          <w:rFonts w:ascii="Times New Roman" w:hAnsi="Times New Roman" w:cs="Times New Roman"/>
        </w:rPr>
        <w:t>four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localities</w:t>
      </w:r>
      <w:proofErr w:type="spellEnd"/>
      <w:r w:rsidRPr="003B4D6B">
        <w:rPr>
          <w:rFonts w:ascii="Times New Roman" w:hAnsi="Times New Roman" w:cs="Times New Roman"/>
        </w:rPr>
        <w:t xml:space="preserve">; it </w:t>
      </w:r>
      <w:proofErr w:type="spellStart"/>
      <w:r w:rsidRPr="003B4D6B">
        <w:rPr>
          <w:rFonts w:ascii="Times New Roman" w:hAnsi="Times New Roman" w:cs="Times New Roman"/>
        </w:rPr>
        <w:t>is</w:t>
      </w:r>
      <w:proofErr w:type="spellEnd"/>
      <w:r w:rsidRPr="003B4D6B">
        <w:rPr>
          <w:rFonts w:ascii="Times New Roman" w:hAnsi="Times New Roman" w:cs="Times New Roman"/>
        </w:rPr>
        <w:t xml:space="preserve"> also </w:t>
      </w:r>
      <w:proofErr w:type="spellStart"/>
      <w:r w:rsidRPr="003B4D6B">
        <w:rPr>
          <w:rFonts w:ascii="Times New Roman" w:hAnsi="Times New Roman" w:cs="Times New Roman"/>
        </w:rPr>
        <w:t>more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sensitive</w:t>
      </w:r>
      <w:proofErr w:type="spellEnd"/>
      <w:r w:rsidRPr="003B4D6B">
        <w:rPr>
          <w:rFonts w:ascii="Times New Roman" w:hAnsi="Times New Roman" w:cs="Times New Roman"/>
        </w:rPr>
        <w:t xml:space="preserve"> to </w:t>
      </w:r>
      <w:proofErr w:type="spellStart"/>
      <w:r w:rsidRPr="003B4D6B">
        <w:rPr>
          <w:rFonts w:ascii="Times New Roman" w:hAnsi="Times New Roman" w:cs="Times New Roman"/>
        </w:rPr>
        <w:t>habitat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change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Within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longifolia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populations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density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varied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widely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being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higher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more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open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habitats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lower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shaded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forests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Vegetative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dominated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populations</w:t>
      </w:r>
      <w:proofErr w:type="spellEnd"/>
      <w:r w:rsidRPr="003B4D6B">
        <w:rPr>
          <w:rFonts w:ascii="Times New Roman" w:hAnsi="Times New Roman" w:cs="Times New Roman"/>
        </w:rPr>
        <w:t xml:space="preserve"> (58.7–85.1%), </w:t>
      </w:r>
      <w:proofErr w:type="spellStart"/>
      <w:r w:rsidRPr="003B4D6B">
        <w:rPr>
          <w:rFonts w:ascii="Times New Roman" w:hAnsi="Times New Roman" w:cs="Times New Roman"/>
        </w:rPr>
        <w:t>whereas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generative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comprised</w:t>
      </w:r>
      <w:proofErr w:type="spellEnd"/>
      <w:r w:rsidRPr="003B4D6B">
        <w:rPr>
          <w:rFonts w:ascii="Times New Roman" w:hAnsi="Times New Roman" w:cs="Times New Roman"/>
        </w:rPr>
        <w:t xml:space="preserve"> 14.9–40.1%. </w:t>
      </w:r>
      <w:proofErr w:type="spellStart"/>
      <w:r w:rsidRPr="003B4D6B">
        <w:rPr>
          <w:rFonts w:ascii="Times New Roman" w:hAnsi="Times New Roman" w:cs="Times New Roman"/>
          <w:i/>
          <w:iCs/>
        </w:rPr>
        <w:t>Cardamine</w:t>
      </w:r>
      <w:proofErr w:type="spellEnd"/>
      <w:r w:rsidRPr="003B4D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B4D6B">
        <w:rPr>
          <w:rFonts w:ascii="Times New Roman" w:hAnsi="Times New Roman" w:cs="Times New Roman"/>
          <w:i/>
          <w:iCs/>
        </w:rPr>
        <w:t>bulbifera</w:t>
      </w:r>
      <w:proofErr w:type="spellEnd"/>
      <w:r w:rsidRPr="003B4D6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were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dominated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by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juvenile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immature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 xml:space="preserve"> (89.2% </w:t>
      </w:r>
      <w:proofErr w:type="spellStart"/>
      <w:r w:rsidRPr="003B4D6B">
        <w:rPr>
          <w:rFonts w:ascii="Times New Roman" w:hAnsi="Times New Roman" w:cs="Times New Roman"/>
        </w:rPr>
        <w:t>combined</w:t>
      </w:r>
      <w:proofErr w:type="spellEnd"/>
      <w:r w:rsidRPr="003B4D6B">
        <w:rPr>
          <w:rFonts w:ascii="Times New Roman" w:hAnsi="Times New Roman" w:cs="Times New Roman"/>
        </w:rPr>
        <w:t xml:space="preserve">), </w:t>
      </w:r>
      <w:proofErr w:type="spellStart"/>
      <w:r w:rsidRPr="003B4D6B">
        <w:rPr>
          <w:rFonts w:ascii="Times New Roman" w:hAnsi="Times New Roman" w:cs="Times New Roman"/>
        </w:rPr>
        <w:t>indicating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predominant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vegetative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reproduction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by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axillary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bulbils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highest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density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found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broadleaved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forests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while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hornbeam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forests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supported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highest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percentage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mature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>.</w:t>
      </w:r>
    </w:p>
    <w:p w14:paraId="0424345E" w14:textId="77777777" w:rsidR="003B4D6B" w:rsidRPr="003B4D6B" w:rsidRDefault="003B4D6B" w:rsidP="003B4D6B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B4D6B">
        <w:rPr>
          <w:rFonts w:ascii="Times New Roman" w:hAnsi="Times New Roman" w:cs="Times New Roman"/>
        </w:rPr>
        <w:t>Across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  <w:i/>
          <w:iCs/>
        </w:rPr>
        <w:t>Cephalanthera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populations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rate of </w:t>
      </w:r>
      <w:proofErr w:type="spellStart"/>
      <w:r w:rsidRPr="003B4D6B">
        <w:rPr>
          <w:rFonts w:ascii="Times New Roman" w:hAnsi="Times New Roman" w:cs="Times New Roman"/>
        </w:rPr>
        <w:t>natural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consistently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low</w:t>
      </w:r>
      <w:proofErr w:type="spellEnd"/>
      <w:r w:rsidRPr="003B4D6B">
        <w:rPr>
          <w:rFonts w:ascii="Times New Roman" w:hAnsi="Times New Roman" w:cs="Times New Roman"/>
        </w:rPr>
        <w:t xml:space="preserve"> (11.8% </w:t>
      </w:r>
      <w:proofErr w:type="spellStart"/>
      <w:r w:rsidRPr="003B4D6B">
        <w:rPr>
          <w:rFonts w:ascii="Times New Roman" w:hAnsi="Times New Roman" w:cs="Times New Roman"/>
        </w:rPr>
        <w:t>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average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longifolia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15.2% </w:t>
      </w:r>
      <w:proofErr w:type="spellStart"/>
      <w:r w:rsidRPr="003B4D6B">
        <w:rPr>
          <w:rFonts w:ascii="Times New Roman" w:hAnsi="Times New Roman" w:cs="Times New Roman"/>
        </w:rPr>
        <w:t>for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rubra</w:t>
      </w:r>
      <w:proofErr w:type="spellEnd"/>
      <w:r w:rsidRPr="003B4D6B">
        <w:rPr>
          <w:rFonts w:ascii="Times New Roman" w:hAnsi="Times New Roman" w:cs="Times New Roman"/>
        </w:rPr>
        <w:t xml:space="preserve">), </w:t>
      </w:r>
      <w:proofErr w:type="spellStart"/>
      <w:r w:rsidRPr="003B4D6B">
        <w:rPr>
          <w:rFonts w:ascii="Times New Roman" w:hAnsi="Times New Roman" w:cs="Times New Roman"/>
        </w:rPr>
        <w:t>with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many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individuals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producing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no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Flowers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lower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positions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more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frequently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than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those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higher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positions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weakly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related</w:t>
      </w:r>
      <w:proofErr w:type="spellEnd"/>
      <w:r w:rsidRPr="003B4D6B">
        <w:rPr>
          <w:rFonts w:ascii="Times New Roman" w:hAnsi="Times New Roman" w:cs="Times New Roman"/>
        </w:rPr>
        <w:t xml:space="preserve"> to </w:t>
      </w:r>
      <w:proofErr w:type="spellStart"/>
      <w:r w:rsidRPr="003B4D6B">
        <w:rPr>
          <w:rFonts w:ascii="Times New Roman" w:hAnsi="Times New Roman" w:cs="Times New Roman"/>
        </w:rPr>
        <w:t>display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traits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longifolia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moderately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related</w:t>
      </w:r>
      <w:proofErr w:type="spellEnd"/>
      <w:r w:rsidRPr="003B4D6B">
        <w:rPr>
          <w:rFonts w:ascii="Times New Roman" w:hAnsi="Times New Roman" w:cs="Times New Roman"/>
        </w:rPr>
        <w:t xml:space="preserve"> to </w:t>
      </w:r>
      <w:proofErr w:type="spellStart"/>
      <w:r w:rsidRPr="003B4D6B">
        <w:rPr>
          <w:rFonts w:ascii="Times New Roman" w:hAnsi="Times New Roman" w:cs="Times New Roman"/>
        </w:rPr>
        <w:t>them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rubra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Bryophyte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cover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negatively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affected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both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species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more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open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habitats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favoured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reproduction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rubra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soil</w:t>
      </w:r>
      <w:proofErr w:type="spellEnd"/>
      <w:r w:rsidRPr="003B4D6B">
        <w:rPr>
          <w:rFonts w:ascii="Times New Roman" w:hAnsi="Times New Roman" w:cs="Times New Roman"/>
        </w:rPr>
        <w:t xml:space="preserve"> pH </w:t>
      </w:r>
      <w:proofErr w:type="spellStart"/>
      <w:r w:rsidRPr="003B4D6B">
        <w:rPr>
          <w:rFonts w:ascii="Times New Roman" w:hAnsi="Times New Roman" w:cs="Times New Roman"/>
        </w:rPr>
        <w:t>correlated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positively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mean</w:t>
      </w:r>
      <w:proofErr w:type="spellEnd"/>
      <w:r w:rsidRPr="003B4D6B">
        <w:rPr>
          <w:rFonts w:ascii="Times New Roman" w:hAnsi="Times New Roman" w:cs="Times New Roman"/>
        </w:rPr>
        <w:t xml:space="preserve"> June </w:t>
      </w:r>
      <w:proofErr w:type="spellStart"/>
      <w:r w:rsidRPr="003B4D6B">
        <w:rPr>
          <w:rFonts w:ascii="Times New Roman" w:hAnsi="Times New Roman" w:cs="Times New Roman"/>
        </w:rPr>
        <w:t>temperature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correlated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negatively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with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rate. </w:t>
      </w:r>
      <w:proofErr w:type="spellStart"/>
      <w:r w:rsidRPr="003B4D6B">
        <w:rPr>
          <w:rFonts w:ascii="Times New Roman" w:hAnsi="Times New Roman" w:cs="Times New Roman"/>
        </w:rPr>
        <w:t>Pollination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experiments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showed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that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assured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pollination</w:t>
      </w:r>
      <w:proofErr w:type="spellEnd"/>
      <w:r w:rsidRPr="003B4D6B">
        <w:rPr>
          <w:rFonts w:ascii="Times New Roman" w:hAnsi="Times New Roman" w:cs="Times New Roman"/>
        </w:rPr>
        <w:t xml:space="preserve"> (</w:t>
      </w:r>
      <w:proofErr w:type="spellStart"/>
      <w:r w:rsidRPr="003B4D6B">
        <w:rPr>
          <w:rFonts w:ascii="Times New Roman" w:hAnsi="Times New Roman" w:cs="Times New Roman"/>
        </w:rPr>
        <w:t>both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self</w:t>
      </w:r>
      <w:proofErr w:type="spellEnd"/>
      <w:r w:rsidRPr="003B4D6B">
        <w:rPr>
          <w:rFonts w:ascii="Times New Roman" w:hAnsi="Times New Roman" w:cs="Times New Roman"/>
        </w:rPr>
        <w:t xml:space="preserve">-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cross</w:t>
      </w:r>
      <w:proofErr w:type="spellEnd"/>
      <w:r w:rsidRPr="003B4D6B">
        <w:rPr>
          <w:rFonts w:ascii="Times New Roman" w:hAnsi="Times New Roman" w:cs="Times New Roman"/>
        </w:rPr>
        <w:t xml:space="preserve">-) </w:t>
      </w:r>
      <w:proofErr w:type="spellStart"/>
      <w:r w:rsidRPr="003B4D6B">
        <w:rPr>
          <w:rFonts w:ascii="Times New Roman" w:hAnsi="Times New Roman" w:cs="Times New Roman"/>
        </w:rPr>
        <w:t>increased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percentage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fruits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 xml:space="preserve"> to 69–70%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longifolia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88–97% </w:t>
      </w:r>
      <w:proofErr w:type="spellStart"/>
      <w:r w:rsidRPr="003B4D6B">
        <w:rPr>
          <w:rFonts w:ascii="Times New Roman" w:hAnsi="Times New Roman" w:cs="Times New Roman"/>
        </w:rPr>
        <w:t>in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r w:rsidRPr="003B4D6B">
        <w:rPr>
          <w:rFonts w:ascii="Times New Roman" w:hAnsi="Times New Roman" w:cs="Times New Roman"/>
          <w:i/>
          <w:iCs/>
        </w:rPr>
        <w:t xml:space="preserve">C. </w:t>
      </w:r>
      <w:proofErr w:type="spellStart"/>
      <w:r w:rsidRPr="003B4D6B">
        <w:rPr>
          <w:rFonts w:ascii="Times New Roman" w:hAnsi="Times New Roman" w:cs="Times New Roman"/>
          <w:i/>
          <w:iCs/>
        </w:rPr>
        <w:t>rubra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This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confirmed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self-compatibility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ruled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out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resource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limitation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cause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low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natural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fruit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set</w:t>
      </w:r>
      <w:proofErr w:type="spellEnd"/>
      <w:r w:rsidRPr="003B4D6B">
        <w:rPr>
          <w:rFonts w:ascii="Times New Roman" w:hAnsi="Times New Roman" w:cs="Times New Roman"/>
        </w:rPr>
        <w:t>.</w:t>
      </w:r>
    </w:p>
    <w:p w14:paraId="7BF9A53B" w14:textId="77777777" w:rsidR="003B4D6B" w:rsidRPr="003B4D6B" w:rsidRDefault="003B4D6B" w:rsidP="003B4D6B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results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study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refine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understanding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demography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long-lived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rhizomatous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plants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by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showing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that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ratios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maturity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groups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primarily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reflect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current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suitability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habitat</w:t>
      </w:r>
      <w:proofErr w:type="spellEnd"/>
      <w:r w:rsidRPr="003B4D6B">
        <w:rPr>
          <w:rFonts w:ascii="Times New Roman" w:hAnsi="Times New Roman" w:cs="Times New Roman"/>
        </w:rPr>
        <w:t xml:space="preserve"> (</w:t>
      </w:r>
      <w:proofErr w:type="spellStart"/>
      <w:r w:rsidRPr="003B4D6B">
        <w:rPr>
          <w:rFonts w:ascii="Times New Roman" w:hAnsi="Times New Roman" w:cs="Times New Roman"/>
        </w:rPr>
        <w:t>e.g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sunlight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availability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disturbance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community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composition</w:t>
      </w:r>
      <w:proofErr w:type="spellEnd"/>
      <w:r w:rsidRPr="003B4D6B">
        <w:rPr>
          <w:rFonts w:ascii="Times New Roman" w:hAnsi="Times New Roman" w:cs="Times New Roman"/>
        </w:rPr>
        <w:t xml:space="preserve">) </w:t>
      </w:r>
      <w:proofErr w:type="spellStart"/>
      <w:r w:rsidRPr="003B4D6B">
        <w:rPr>
          <w:rFonts w:ascii="Times New Roman" w:hAnsi="Times New Roman" w:cs="Times New Roman"/>
        </w:rPr>
        <w:t>rather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than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developmental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trends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study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provides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evidence-based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guidance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for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conservation</w:t>
      </w:r>
      <w:proofErr w:type="spellEnd"/>
      <w:r w:rsidRPr="003B4D6B">
        <w:rPr>
          <w:rFonts w:ascii="Times New Roman" w:hAnsi="Times New Roman" w:cs="Times New Roman"/>
        </w:rPr>
        <w:t xml:space="preserve">, </w:t>
      </w:r>
      <w:proofErr w:type="spellStart"/>
      <w:r w:rsidRPr="003B4D6B">
        <w:rPr>
          <w:rFonts w:ascii="Times New Roman" w:hAnsi="Times New Roman" w:cs="Times New Roman"/>
        </w:rPr>
        <w:t>including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habitat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management</w:t>
      </w:r>
      <w:proofErr w:type="spellEnd"/>
      <w:r w:rsidRPr="003B4D6B">
        <w:rPr>
          <w:rFonts w:ascii="Times New Roman" w:hAnsi="Times New Roman" w:cs="Times New Roman"/>
        </w:rPr>
        <w:t xml:space="preserve"> (</w:t>
      </w:r>
      <w:proofErr w:type="spellStart"/>
      <w:r w:rsidRPr="003B4D6B">
        <w:rPr>
          <w:rFonts w:ascii="Times New Roman" w:hAnsi="Times New Roman" w:cs="Times New Roman"/>
        </w:rPr>
        <w:t>e.g</w:t>
      </w:r>
      <w:proofErr w:type="spellEnd"/>
      <w:r w:rsidRPr="003B4D6B">
        <w:rPr>
          <w:rFonts w:ascii="Times New Roman" w:hAnsi="Times New Roman" w:cs="Times New Roman"/>
        </w:rPr>
        <w:t xml:space="preserve">. </w:t>
      </w:r>
      <w:proofErr w:type="spellStart"/>
      <w:r w:rsidRPr="003B4D6B">
        <w:rPr>
          <w:rFonts w:ascii="Times New Roman" w:hAnsi="Times New Roman" w:cs="Times New Roman"/>
        </w:rPr>
        <w:t>controlling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canopy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plant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debris</w:t>
      </w:r>
      <w:proofErr w:type="spellEnd"/>
      <w:r w:rsidRPr="003B4D6B">
        <w:rPr>
          <w:rFonts w:ascii="Times New Roman" w:hAnsi="Times New Roman" w:cs="Times New Roman"/>
        </w:rPr>
        <w:t xml:space="preserve">) </w:t>
      </w:r>
      <w:proofErr w:type="spellStart"/>
      <w:r w:rsidRPr="003B4D6B">
        <w:rPr>
          <w:rFonts w:ascii="Times New Roman" w:hAnsi="Times New Roman" w:cs="Times New Roman"/>
        </w:rPr>
        <w:t>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targeted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use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hand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pollination</w:t>
      </w:r>
      <w:proofErr w:type="spellEnd"/>
      <w:r w:rsidRPr="003B4D6B">
        <w:rPr>
          <w:rFonts w:ascii="Times New Roman" w:hAnsi="Times New Roman" w:cs="Times New Roman"/>
        </w:rPr>
        <w:t xml:space="preserve">. It also </w:t>
      </w:r>
      <w:proofErr w:type="spellStart"/>
      <w:r w:rsidRPr="003B4D6B">
        <w:rPr>
          <w:rFonts w:ascii="Times New Roman" w:hAnsi="Times New Roman" w:cs="Times New Roman"/>
        </w:rPr>
        <w:t>highlights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the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importance</w:t>
      </w:r>
      <w:proofErr w:type="spellEnd"/>
      <w:r w:rsidRPr="003B4D6B">
        <w:rPr>
          <w:rFonts w:ascii="Times New Roman" w:hAnsi="Times New Roman" w:cs="Times New Roman"/>
        </w:rPr>
        <w:t xml:space="preserve"> of </w:t>
      </w:r>
      <w:proofErr w:type="spellStart"/>
      <w:r w:rsidRPr="003B4D6B">
        <w:rPr>
          <w:rFonts w:ascii="Times New Roman" w:hAnsi="Times New Roman" w:cs="Times New Roman"/>
        </w:rPr>
        <w:t>single-census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assessments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alongside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longer-term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population</w:t>
      </w:r>
      <w:proofErr w:type="spellEnd"/>
      <w:r w:rsidRPr="003B4D6B">
        <w:rPr>
          <w:rFonts w:ascii="Times New Roman" w:hAnsi="Times New Roman" w:cs="Times New Roman"/>
        </w:rPr>
        <w:t xml:space="preserve"> </w:t>
      </w:r>
      <w:proofErr w:type="spellStart"/>
      <w:r w:rsidRPr="003B4D6B">
        <w:rPr>
          <w:rFonts w:ascii="Times New Roman" w:hAnsi="Times New Roman" w:cs="Times New Roman"/>
        </w:rPr>
        <w:t>studies</w:t>
      </w:r>
      <w:proofErr w:type="spellEnd"/>
      <w:r w:rsidRPr="003B4D6B">
        <w:rPr>
          <w:rFonts w:ascii="Times New Roman" w:hAnsi="Times New Roman" w:cs="Times New Roman"/>
        </w:rPr>
        <w:t>.</w:t>
      </w:r>
    </w:p>
    <w:p w14:paraId="4A622F42" w14:textId="77777777" w:rsidR="003B4D6B" w:rsidRPr="003B4D6B" w:rsidRDefault="003B4D6B" w:rsidP="00320021">
      <w:pPr>
        <w:pStyle w:val="prastasiniatinklio"/>
        <w:jc w:val="both"/>
        <w:rPr>
          <w:color w:val="000000"/>
          <w:sz w:val="22"/>
          <w:szCs w:val="22"/>
        </w:rPr>
      </w:pPr>
    </w:p>
    <w:p w14:paraId="6DFD6334" w14:textId="77777777" w:rsidR="00C47367" w:rsidRPr="003B4D6B" w:rsidRDefault="00C47367" w:rsidP="003B4D6B">
      <w:pPr>
        <w:pStyle w:val="prastasiniatinklio"/>
        <w:jc w:val="center"/>
        <w:rPr>
          <w:color w:val="000000"/>
          <w:sz w:val="22"/>
          <w:szCs w:val="22"/>
        </w:rPr>
      </w:pPr>
      <w:r w:rsidRPr="003B4D6B">
        <w:rPr>
          <w:color w:val="000000"/>
          <w:sz w:val="22"/>
          <w:szCs w:val="22"/>
        </w:rPr>
        <w:lastRenderedPageBreak/>
        <w:t>LIST OF PUBLICATIONS OF THE DISSERTATION TOPIC</w:t>
      </w:r>
    </w:p>
    <w:p w14:paraId="0BCA6527" w14:textId="77777777" w:rsidR="003B4D6B" w:rsidRPr="003B4D6B" w:rsidRDefault="003B4D6B" w:rsidP="003B4D6B">
      <w:pPr>
        <w:pStyle w:val="prastasiniatinklio"/>
        <w:ind w:firstLine="426"/>
        <w:jc w:val="both"/>
        <w:rPr>
          <w:sz w:val="22"/>
          <w:szCs w:val="22"/>
        </w:rPr>
      </w:pPr>
      <w:r w:rsidRPr="003B4D6B">
        <w:rPr>
          <w:sz w:val="22"/>
          <w:szCs w:val="22"/>
        </w:rPr>
        <w:t xml:space="preserve">Taura, L., Gudžinskas, Z. (2024).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i/>
          <w:iCs/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longifolia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and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rubra</w:t>
      </w:r>
      <w:proofErr w:type="spellEnd"/>
      <w:r w:rsidRPr="003B4D6B">
        <w:rPr>
          <w:sz w:val="22"/>
          <w:szCs w:val="22"/>
        </w:rPr>
        <w:t xml:space="preserve"> (</w:t>
      </w:r>
      <w:proofErr w:type="spellStart"/>
      <w:r w:rsidRPr="003B4D6B">
        <w:rPr>
          <w:sz w:val="22"/>
          <w:szCs w:val="22"/>
        </w:rPr>
        <w:t>Orchidaceae</w:t>
      </w:r>
      <w:proofErr w:type="spellEnd"/>
      <w:r w:rsidRPr="003B4D6B">
        <w:rPr>
          <w:sz w:val="22"/>
          <w:szCs w:val="22"/>
        </w:rPr>
        <w:t xml:space="preserve">) </w:t>
      </w:r>
      <w:proofErr w:type="spellStart"/>
      <w:r w:rsidRPr="003B4D6B">
        <w:rPr>
          <w:sz w:val="22"/>
          <w:szCs w:val="22"/>
        </w:rPr>
        <w:t>in</w:t>
      </w:r>
      <w:proofErr w:type="spellEnd"/>
      <w:r w:rsidRPr="003B4D6B">
        <w:rPr>
          <w:sz w:val="22"/>
          <w:szCs w:val="22"/>
        </w:rPr>
        <w:t xml:space="preserve"> Lithuania. </w:t>
      </w:r>
      <w:proofErr w:type="spellStart"/>
      <w:r w:rsidRPr="003B4D6B">
        <w:rPr>
          <w:sz w:val="22"/>
          <w:szCs w:val="22"/>
        </w:rPr>
        <w:t>Analysis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sz w:val="22"/>
          <w:szCs w:val="22"/>
        </w:rPr>
        <w:t>distribution</w:t>
      </w:r>
      <w:proofErr w:type="spellEnd"/>
      <w:r w:rsidRPr="003B4D6B">
        <w:rPr>
          <w:sz w:val="22"/>
          <w:szCs w:val="22"/>
        </w:rPr>
        <w:t xml:space="preserve">, </w:t>
      </w:r>
      <w:proofErr w:type="spellStart"/>
      <w:r w:rsidRPr="003B4D6B">
        <w:rPr>
          <w:sz w:val="22"/>
          <w:szCs w:val="22"/>
        </w:rPr>
        <w:t>population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dynamics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and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conservation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issues</w:t>
      </w:r>
      <w:proofErr w:type="spellEnd"/>
      <w:r w:rsidRPr="003B4D6B">
        <w:rPr>
          <w:sz w:val="22"/>
          <w:szCs w:val="22"/>
        </w:rPr>
        <w:t>.  </w:t>
      </w:r>
      <w:proofErr w:type="spellStart"/>
      <w:r w:rsidRPr="003B4D6B">
        <w:rPr>
          <w:sz w:val="22"/>
          <w:szCs w:val="22"/>
        </w:rPr>
        <w:t>Botanica</w:t>
      </w:r>
      <w:proofErr w:type="spellEnd"/>
      <w:r w:rsidRPr="003B4D6B">
        <w:rPr>
          <w:sz w:val="22"/>
          <w:szCs w:val="22"/>
        </w:rPr>
        <w:t xml:space="preserve">, 30(4): 127–149. https://doi.org/10.35513/Botlit.2024.4.2 </w:t>
      </w:r>
    </w:p>
    <w:p w14:paraId="6E974E06" w14:textId="77777777" w:rsidR="003B4D6B" w:rsidRPr="003B4D6B" w:rsidRDefault="003B4D6B" w:rsidP="003B4D6B">
      <w:pPr>
        <w:pStyle w:val="prastasiniatinklio"/>
        <w:ind w:firstLine="426"/>
        <w:jc w:val="both"/>
        <w:rPr>
          <w:sz w:val="22"/>
          <w:szCs w:val="22"/>
        </w:rPr>
      </w:pPr>
      <w:r w:rsidRPr="003B4D6B">
        <w:rPr>
          <w:sz w:val="22"/>
          <w:szCs w:val="22"/>
        </w:rPr>
        <w:t xml:space="preserve">Taura, L., Gudžinskas, Z. (2025). </w:t>
      </w:r>
      <w:proofErr w:type="spellStart"/>
      <w:r w:rsidRPr="003B4D6B">
        <w:rPr>
          <w:sz w:val="22"/>
          <w:szCs w:val="22"/>
        </w:rPr>
        <w:t>Assessment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sz w:val="22"/>
          <w:szCs w:val="22"/>
        </w:rPr>
        <w:t>the</w:t>
      </w:r>
      <w:proofErr w:type="spellEnd"/>
      <w:r w:rsidRPr="003B4D6B">
        <w:rPr>
          <w:sz w:val="22"/>
          <w:szCs w:val="22"/>
        </w:rPr>
        <w:t xml:space="preserve"> status of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longifolia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populations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in</w:t>
      </w:r>
      <w:proofErr w:type="spellEnd"/>
      <w:r w:rsidRPr="003B4D6B">
        <w:rPr>
          <w:sz w:val="22"/>
          <w:szCs w:val="22"/>
        </w:rPr>
        <w:t xml:space="preserve"> Lithuania </w:t>
      </w:r>
      <w:proofErr w:type="spellStart"/>
      <w:r w:rsidRPr="003B4D6B">
        <w:rPr>
          <w:sz w:val="22"/>
          <w:szCs w:val="22"/>
        </w:rPr>
        <w:t>derived</w:t>
      </w:r>
      <w:proofErr w:type="spellEnd"/>
      <w:r w:rsidRPr="003B4D6B">
        <w:rPr>
          <w:sz w:val="22"/>
          <w:szCs w:val="22"/>
        </w:rPr>
        <w:t xml:space="preserve"> from a </w:t>
      </w:r>
      <w:proofErr w:type="spellStart"/>
      <w:r w:rsidRPr="003B4D6B">
        <w:rPr>
          <w:sz w:val="22"/>
          <w:szCs w:val="22"/>
        </w:rPr>
        <w:t>single</w:t>
      </w:r>
      <w:r w:rsidRPr="003B4D6B">
        <w:rPr>
          <w:sz w:val="22"/>
          <w:szCs w:val="22"/>
        </w:rPr>
        <w:noBreakHyphen/>
        <w:t>census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study</w:t>
      </w:r>
      <w:proofErr w:type="spellEnd"/>
      <w:r w:rsidRPr="003B4D6B">
        <w:rPr>
          <w:sz w:val="22"/>
          <w:szCs w:val="22"/>
        </w:rPr>
        <w:t xml:space="preserve">.  </w:t>
      </w:r>
      <w:proofErr w:type="spellStart"/>
      <w:r w:rsidRPr="003B4D6B">
        <w:rPr>
          <w:sz w:val="22"/>
          <w:szCs w:val="22"/>
        </w:rPr>
        <w:t>Plants</w:t>
      </w:r>
      <w:proofErr w:type="spellEnd"/>
      <w:r w:rsidRPr="003B4D6B">
        <w:rPr>
          <w:sz w:val="22"/>
          <w:szCs w:val="22"/>
        </w:rPr>
        <w:t xml:space="preserve">,  14(13):  2039. </w:t>
      </w:r>
      <w:hyperlink r:id="rId4" w:history="1">
        <w:r w:rsidRPr="003B4D6B">
          <w:rPr>
            <w:rStyle w:val="Hipersaitas"/>
            <w:sz w:val="22"/>
            <w:szCs w:val="22"/>
          </w:rPr>
          <w:t>https://doi.org/10.3390/plants14132039</w:t>
        </w:r>
      </w:hyperlink>
    </w:p>
    <w:p w14:paraId="3D99399C" w14:textId="77777777" w:rsidR="003B4D6B" w:rsidRPr="003B4D6B" w:rsidRDefault="003B4D6B" w:rsidP="003B4D6B">
      <w:pPr>
        <w:pStyle w:val="prastasiniatinklio"/>
        <w:ind w:firstLine="426"/>
        <w:jc w:val="both"/>
        <w:rPr>
          <w:sz w:val="22"/>
          <w:szCs w:val="22"/>
        </w:rPr>
      </w:pPr>
      <w:r w:rsidRPr="003B4D6B">
        <w:rPr>
          <w:sz w:val="22"/>
          <w:szCs w:val="22"/>
        </w:rPr>
        <w:t xml:space="preserve">Taura, L., Gudžinskas, Z. (2025). </w:t>
      </w:r>
      <w:proofErr w:type="spellStart"/>
      <w:r w:rsidRPr="003B4D6B">
        <w:rPr>
          <w:sz w:val="22"/>
          <w:szCs w:val="22"/>
        </w:rPr>
        <w:t>The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effect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sz w:val="22"/>
          <w:szCs w:val="22"/>
        </w:rPr>
        <w:t>forest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habitats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on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the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traits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and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demographic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structure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i/>
          <w:iCs/>
          <w:sz w:val="22"/>
          <w:szCs w:val="22"/>
        </w:rPr>
        <w:t>Cardamine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bulbifera</w:t>
      </w:r>
      <w:proofErr w:type="spellEnd"/>
      <w:r w:rsidRPr="003B4D6B">
        <w:rPr>
          <w:sz w:val="22"/>
          <w:szCs w:val="22"/>
        </w:rPr>
        <w:t xml:space="preserve"> (</w:t>
      </w:r>
      <w:proofErr w:type="spellStart"/>
      <w:r w:rsidRPr="003B4D6B">
        <w:rPr>
          <w:sz w:val="22"/>
          <w:szCs w:val="22"/>
        </w:rPr>
        <w:t>Brassicaceae</w:t>
      </w:r>
      <w:proofErr w:type="spellEnd"/>
      <w:r w:rsidRPr="003B4D6B">
        <w:rPr>
          <w:sz w:val="22"/>
          <w:szCs w:val="22"/>
        </w:rPr>
        <w:t xml:space="preserve">) </w:t>
      </w:r>
      <w:proofErr w:type="spellStart"/>
      <w:r w:rsidRPr="003B4D6B">
        <w:rPr>
          <w:sz w:val="22"/>
          <w:szCs w:val="22"/>
        </w:rPr>
        <w:t>populations</w:t>
      </w:r>
      <w:proofErr w:type="spellEnd"/>
      <w:r w:rsidRPr="003B4D6B">
        <w:rPr>
          <w:sz w:val="22"/>
          <w:szCs w:val="22"/>
        </w:rPr>
        <w:t xml:space="preserve">. </w:t>
      </w:r>
      <w:proofErr w:type="spellStart"/>
      <w:r w:rsidRPr="003B4D6B">
        <w:rPr>
          <w:sz w:val="22"/>
          <w:szCs w:val="22"/>
        </w:rPr>
        <w:t>Plants</w:t>
      </w:r>
      <w:proofErr w:type="spellEnd"/>
      <w:r w:rsidRPr="003B4D6B">
        <w:rPr>
          <w:sz w:val="22"/>
          <w:szCs w:val="22"/>
        </w:rPr>
        <w:t xml:space="preserve">,  14(18): 2899. </w:t>
      </w:r>
      <w:hyperlink r:id="rId5" w:history="1">
        <w:r w:rsidRPr="003B4D6B">
          <w:rPr>
            <w:rStyle w:val="Hipersaitas"/>
            <w:sz w:val="22"/>
            <w:szCs w:val="22"/>
          </w:rPr>
          <w:t>https://doi.org/10.3390/plants14182899</w:t>
        </w:r>
      </w:hyperlink>
    </w:p>
    <w:p w14:paraId="3A43F236" w14:textId="77777777" w:rsidR="003B4D6B" w:rsidRPr="003B4D6B" w:rsidRDefault="003B4D6B" w:rsidP="003B4D6B">
      <w:pPr>
        <w:pStyle w:val="prastasiniatinklio"/>
        <w:ind w:firstLine="426"/>
        <w:jc w:val="both"/>
        <w:rPr>
          <w:sz w:val="22"/>
          <w:szCs w:val="22"/>
        </w:rPr>
      </w:pPr>
      <w:r w:rsidRPr="003B4D6B">
        <w:rPr>
          <w:sz w:val="22"/>
          <w:szCs w:val="22"/>
        </w:rPr>
        <w:t xml:space="preserve">4. Taura, L., Gudžinskas, Z. (2024). </w:t>
      </w:r>
      <w:proofErr w:type="spellStart"/>
      <w:r w:rsidRPr="003B4D6B">
        <w:rPr>
          <w:sz w:val="22"/>
          <w:szCs w:val="22"/>
        </w:rPr>
        <w:t>What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factors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determine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the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natural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fruit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set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longifolia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and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rubra</w:t>
      </w:r>
      <w:proofErr w:type="spellEnd"/>
      <w:r w:rsidRPr="003B4D6B">
        <w:rPr>
          <w:sz w:val="22"/>
          <w:szCs w:val="22"/>
        </w:rPr>
        <w:t>?  </w:t>
      </w:r>
      <w:proofErr w:type="spellStart"/>
      <w:r w:rsidRPr="003B4D6B">
        <w:rPr>
          <w:sz w:val="22"/>
          <w:szCs w:val="22"/>
        </w:rPr>
        <w:t>Diversity</w:t>
      </w:r>
      <w:proofErr w:type="spellEnd"/>
      <w:r w:rsidRPr="003B4D6B">
        <w:rPr>
          <w:sz w:val="22"/>
          <w:szCs w:val="22"/>
        </w:rPr>
        <w:t xml:space="preserve">, 16(6):  333. </w:t>
      </w:r>
      <w:hyperlink r:id="rId6" w:history="1">
        <w:r w:rsidRPr="003B4D6B">
          <w:rPr>
            <w:rStyle w:val="Hipersaitas"/>
            <w:sz w:val="22"/>
            <w:szCs w:val="22"/>
          </w:rPr>
          <w:t>https://doi.org/10.3390/d16060333</w:t>
        </w:r>
      </w:hyperlink>
    </w:p>
    <w:p w14:paraId="5BAFC19B" w14:textId="77777777" w:rsidR="003B4D6B" w:rsidRPr="003B4D6B" w:rsidRDefault="003B4D6B" w:rsidP="003B4D6B">
      <w:pPr>
        <w:pStyle w:val="prastasiniatinklio"/>
        <w:ind w:firstLine="426"/>
        <w:jc w:val="both"/>
        <w:rPr>
          <w:b/>
          <w:bCs/>
          <w:color w:val="000000"/>
          <w:sz w:val="22"/>
          <w:szCs w:val="22"/>
        </w:rPr>
      </w:pPr>
      <w:r w:rsidRPr="003B4D6B">
        <w:rPr>
          <w:sz w:val="22"/>
          <w:szCs w:val="22"/>
        </w:rPr>
        <w:t xml:space="preserve">Taura, L., Gudžinskas, Z. (2025). </w:t>
      </w:r>
      <w:proofErr w:type="spellStart"/>
      <w:r w:rsidRPr="003B4D6B">
        <w:rPr>
          <w:sz w:val="22"/>
          <w:szCs w:val="22"/>
        </w:rPr>
        <w:t>Effect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sz w:val="22"/>
          <w:szCs w:val="22"/>
        </w:rPr>
        <w:t>simulated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autogamy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and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allogamy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on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the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success</w:t>
      </w:r>
      <w:proofErr w:type="spellEnd"/>
      <w:r w:rsidRPr="003B4D6B">
        <w:rPr>
          <w:sz w:val="22"/>
          <w:szCs w:val="22"/>
        </w:rPr>
        <w:t xml:space="preserve"> of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longifolia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sz w:val="22"/>
          <w:szCs w:val="22"/>
        </w:rPr>
        <w:t>and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Cephalanthera</w:t>
      </w:r>
      <w:proofErr w:type="spellEnd"/>
      <w:r w:rsidRPr="003B4D6B">
        <w:rPr>
          <w:sz w:val="22"/>
          <w:szCs w:val="22"/>
        </w:rPr>
        <w:t xml:space="preserve"> </w:t>
      </w:r>
      <w:proofErr w:type="spellStart"/>
      <w:r w:rsidRPr="003B4D6B">
        <w:rPr>
          <w:i/>
          <w:iCs/>
          <w:sz w:val="22"/>
          <w:szCs w:val="22"/>
        </w:rPr>
        <w:t>rubra</w:t>
      </w:r>
      <w:proofErr w:type="spellEnd"/>
      <w:r w:rsidRPr="003B4D6B">
        <w:rPr>
          <w:sz w:val="22"/>
          <w:szCs w:val="22"/>
        </w:rPr>
        <w:t xml:space="preserve"> (</w:t>
      </w:r>
      <w:proofErr w:type="spellStart"/>
      <w:r w:rsidRPr="003B4D6B">
        <w:rPr>
          <w:sz w:val="22"/>
          <w:szCs w:val="22"/>
        </w:rPr>
        <w:t>Orchidaceae</w:t>
      </w:r>
      <w:proofErr w:type="spellEnd"/>
      <w:r w:rsidRPr="003B4D6B">
        <w:rPr>
          <w:sz w:val="22"/>
          <w:szCs w:val="22"/>
        </w:rPr>
        <w:t xml:space="preserve">) </w:t>
      </w:r>
      <w:proofErr w:type="spellStart"/>
      <w:r w:rsidRPr="003B4D6B">
        <w:rPr>
          <w:sz w:val="22"/>
          <w:szCs w:val="22"/>
        </w:rPr>
        <w:t>fruit</w:t>
      </w:r>
      <w:proofErr w:type="spellEnd"/>
      <w:r w:rsidRPr="003B4D6B">
        <w:rPr>
          <w:sz w:val="22"/>
          <w:szCs w:val="22"/>
        </w:rPr>
        <w:t xml:space="preserve"> https://doi.org/10.3390/d17010073 </w:t>
      </w:r>
      <w:proofErr w:type="spellStart"/>
      <w:r w:rsidRPr="003B4D6B">
        <w:rPr>
          <w:sz w:val="22"/>
          <w:szCs w:val="22"/>
        </w:rPr>
        <w:t>set</w:t>
      </w:r>
      <w:proofErr w:type="spellEnd"/>
      <w:r w:rsidRPr="003B4D6B">
        <w:rPr>
          <w:sz w:val="22"/>
          <w:szCs w:val="22"/>
        </w:rPr>
        <w:t xml:space="preserve">.  </w:t>
      </w:r>
      <w:proofErr w:type="spellStart"/>
      <w:r w:rsidRPr="003B4D6B">
        <w:rPr>
          <w:sz w:val="22"/>
          <w:szCs w:val="22"/>
        </w:rPr>
        <w:t>Diversity</w:t>
      </w:r>
      <w:proofErr w:type="spellEnd"/>
      <w:r w:rsidRPr="003B4D6B">
        <w:rPr>
          <w:sz w:val="22"/>
          <w:szCs w:val="22"/>
        </w:rPr>
        <w:t>,  17(1):  73.</w:t>
      </w:r>
    </w:p>
    <w:p w14:paraId="1B0286E0" w14:textId="77777777" w:rsidR="00840011" w:rsidRPr="003B4D6B" w:rsidRDefault="00840011" w:rsidP="00320021">
      <w:pPr>
        <w:jc w:val="both"/>
        <w:rPr>
          <w:rFonts w:ascii="Times New Roman" w:hAnsi="Times New Roman" w:cs="Times New Roman"/>
        </w:rPr>
      </w:pPr>
    </w:p>
    <w:sectPr w:rsidR="00840011" w:rsidRPr="003B4D6B" w:rsidSect="006E7F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67"/>
    <w:rsid w:val="00025233"/>
    <w:rsid w:val="00320021"/>
    <w:rsid w:val="003B4D6B"/>
    <w:rsid w:val="00420399"/>
    <w:rsid w:val="00522722"/>
    <w:rsid w:val="00613895"/>
    <w:rsid w:val="0066390A"/>
    <w:rsid w:val="006E7F49"/>
    <w:rsid w:val="00840011"/>
    <w:rsid w:val="00C47367"/>
    <w:rsid w:val="00D17D3E"/>
    <w:rsid w:val="00D4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DCDC"/>
  <w15:chartTrackingRefBased/>
  <w15:docId w15:val="{A585759C-30F8-4F1E-A530-DED70FBF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73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73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73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73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73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73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73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73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73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73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7367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C47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200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d16060333" TargetMode="External"/><Relationship Id="rId5" Type="http://schemas.openxmlformats.org/officeDocument/2006/relationships/hyperlink" Target="https://doi.org/10.3390/plants14182899" TargetMode="External"/><Relationship Id="rId4" Type="http://schemas.openxmlformats.org/officeDocument/2006/relationships/hyperlink" Target="https://doi.org/10.3390/plants14132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Ričkienė</dc:creator>
  <cp:keywords/>
  <dc:description/>
  <cp:lastModifiedBy>Kristina Valavičiūtė</cp:lastModifiedBy>
  <cp:revision>2</cp:revision>
  <dcterms:created xsi:type="dcterms:W3CDTF">2025-12-08T13:42:00Z</dcterms:created>
  <dcterms:modified xsi:type="dcterms:W3CDTF">2025-12-08T13:42:00Z</dcterms:modified>
</cp:coreProperties>
</file>